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connect product form, CMF, 3D and brand, using models and prototypes to make design choices concrete.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Physical products: </w:t>
      </w:r>
      <w:r>
        <w:rPr>
          <w:color w:val="20221F"/>
          <w:sz w:val="22"/>
        </w:rPr>
        <w:t>Compare form, materials and component relationships around use.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systems: </w:t>
      </w:r>
      <w:r>
        <w:rPr>
          <w:color w:val="20221F"/>
          <w:sz w:val="22"/>
        </w:rPr>
        <w:t>Connect identity, products and commercial spaces.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Collaboration: </w:t>
      </w:r>
      <w:r>
        <w:rPr>
          <w:color w:val="20221F"/>
          <w:sz w:val="22"/>
        </w:rPr>
        <w:t>Use 3D, interfaces and version comparisons to support team decisions.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and research: </w:t>
      </w:r>
      <w:r>
        <w:rPr>
          <w:color w:val="20221F"/>
          <w:sz w:val="22"/>
        </w:rPr>
        <w:t>Codex, ChatGPT, ComfyUI, Midjourney; market and cultural context; Image 2.5, 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Independent AI practice: character sheets, lighting studies and an ink film, a Mini DV coffee vlog and an autumn single-take fashion film connect visual constraints, prompts and human review with 3D and brand expression.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