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4D12" w14:textId="77777777" w:rsidR="00AE3A21" w:rsidRDefault="00AE3A21"/>
    <w:p w14:paraId="19775726" w14:textId="77777777" w:rsidR="00AE3A21" w:rsidRDefault="00AE3A21"/>
    <w:p w14:paraId="12571BB5" w14:textId="77777777" w:rsidR="00AE3A21" w:rsidRDefault="00AE3A21"/>
    <w:p w14:paraId="32CEAC7F" w14:textId="77777777" w:rsidR="00AE3A21" w:rsidRDefault="00AE3A21"/>
    <w:p w14:paraId="3DBC5163" w14:textId="77777777" w:rsidR="00AE3A21" w:rsidRDefault="00AE3A21"/>
    <w:p w14:paraId="7C8B2737" w14:textId="77777777" w:rsidR="00AE3A21" w:rsidRDefault="00A14DFC">
      <w:pPr>
        <w:jc w:val="center"/>
      </w:pPr>
      <w:r>
        <w:rPr>
          <w:color w:val="595959"/>
          <w:sz w:val="20"/>
        </w:rPr>
        <w:t>SIX-WEEK HEALTHCARE DATA ANALYTICS INTERNSHIP · WEEK 3 SUBMISSION</w:t>
      </w:r>
    </w:p>
    <w:p w14:paraId="016C6A89" w14:textId="77777777" w:rsidR="00AE3A21" w:rsidRDefault="00A14DFC">
      <w:pPr>
        <w:jc w:val="center"/>
      </w:pPr>
      <w:r>
        <w:rPr>
          <w:b/>
          <w:color w:val="1C5CAB"/>
          <w:sz w:val="48"/>
        </w:rPr>
        <w:t>Data Visualisation and Insights Communication Plan</w:t>
      </w:r>
    </w:p>
    <w:p w14:paraId="373FBF7E" w14:textId="77777777" w:rsidR="00AE3A21" w:rsidRDefault="00A14DFC">
      <w:pPr>
        <w:jc w:val="center"/>
      </w:pPr>
      <w:r>
        <w:rPr>
          <w:sz w:val="25"/>
        </w:rPr>
        <w:t>Turning healthcare data into decisions for non-technical stakeholders</w:t>
      </w:r>
    </w:p>
    <w:p w14:paraId="23A227AF" w14:textId="77777777" w:rsidR="00AE3A21" w:rsidRDefault="00AE3A21"/>
    <w:p w14:paraId="1ED91A86" w14:textId="77777777" w:rsidR="00AE3A21" w:rsidRDefault="00A14DFC">
      <w:pPr>
        <w:jc w:val="center"/>
      </w:pPr>
      <w:r>
        <w:rPr>
          <w:i/>
          <w:sz w:val="22"/>
        </w:rPr>
        <w:t>Project: 30-day readmission and resource use among diabetic inpatients in 130 US hospitals (UCI Diabetes 130-US Hospitals dataset, 1999–2008)</w:t>
      </w:r>
    </w:p>
    <w:p w14:paraId="09DB5821" w14:textId="77777777" w:rsidR="00AE3A21" w:rsidRDefault="00AE3A21"/>
    <w:p w14:paraId="3ED0AE79" w14:textId="77777777" w:rsidR="00AE3A21" w:rsidRDefault="00AE3A21"/>
    <w:p w14:paraId="66C2328B" w14:textId="77777777" w:rsidR="00AE3A21" w:rsidRDefault="00AE3A21"/>
    <w:p w14:paraId="4319EF7D" w14:textId="77777777" w:rsidR="00AE3A21" w:rsidRDefault="00AE3A21"/>
    <w:p w14:paraId="550564F4" w14:textId="77777777" w:rsidR="00AE3A21" w:rsidRDefault="00AE3A21"/>
    <w:p w14:paraId="4AFEB69D" w14:textId="77777777" w:rsidR="00AE3A21" w:rsidRDefault="00AE3A21"/>
    <w:p w14:paraId="28B073F0" w14:textId="77777777" w:rsidR="00AE3A21" w:rsidRDefault="00A14DFC">
      <w:pPr>
        <w:spacing w:after="40"/>
        <w:jc w:val="center"/>
      </w:pPr>
      <w:r>
        <w:rPr>
          <w:b/>
        </w:rPr>
        <w:t xml:space="preserve">Prepared by: </w:t>
      </w:r>
      <w:r>
        <w:t>Juluru Akshay</w:t>
      </w:r>
    </w:p>
    <w:p w14:paraId="145C7BEE" w14:textId="77777777" w:rsidR="00AE3A21" w:rsidRDefault="00A14DFC">
      <w:pPr>
        <w:spacing w:after="40"/>
        <w:jc w:val="center"/>
      </w:pPr>
      <w:r>
        <w:rPr>
          <w:b/>
        </w:rPr>
        <w:t xml:space="preserve">Internship organisation: </w:t>
      </w:r>
      <w:r>
        <w:t>Yuva</w:t>
      </w:r>
    </w:p>
    <w:p w14:paraId="3B0B26B6" w14:textId="77777777" w:rsidR="00AE3A21" w:rsidRDefault="00A14DFC">
      <w:pPr>
        <w:spacing w:after="40"/>
        <w:jc w:val="center"/>
      </w:pPr>
      <w:r>
        <w:rPr>
          <w:b/>
        </w:rPr>
        <w:t xml:space="preserve">Date: </w:t>
      </w:r>
      <w:r>
        <w:t>24 October 2026</w:t>
      </w:r>
    </w:p>
    <w:p w14:paraId="35D8F85F" w14:textId="77777777" w:rsidR="00AE3A21" w:rsidRDefault="00A14DFC">
      <w:pPr>
        <w:spacing w:after="40"/>
        <w:jc w:val="center"/>
      </w:pPr>
      <w:r>
        <w:rPr>
          <w:b/>
        </w:rPr>
        <w:t xml:space="preserve">Project repository: </w:t>
      </w:r>
      <w:r>
        <w:t>https://github.com/AJ1206/healthcare-readmission-analytics</w:t>
      </w:r>
    </w:p>
    <w:p w14:paraId="5FBD2FB3" w14:textId="77777777" w:rsidR="00AE3A21" w:rsidRDefault="00A14DFC">
      <w:r>
        <w:br w:type="page"/>
      </w:r>
    </w:p>
    <w:p w14:paraId="77DBC209" w14:textId="77777777" w:rsidR="00AE3A21" w:rsidRDefault="00A14DFC">
      <w:r>
        <w:rPr>
          <w:b/>
          <w:color w:val="1C5CAB"/>
          <w:sz w:val="32"/>
        </w:rPr>
        <w:lastRenderedPageBreak/>
        <w:t>Contents</w:t>
      </w:r>
    </w:p>
    <w:p w14:paraId="239C1647" w14:textId="1F9219D4" w:rsidR="00E204F3" w:rsidRDefault="00A14DFC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759653" w:history="1">
        <w:r w:rsidR="00E204F3" w:rsidRPr="00376FF8">
          <w:rPr>
            <w:rStyle w:val="Hyperlink"/>
            <w:noProof/>
          </w:rPr>
          <w:t>1. Executive Summary</w:t>
        </w:r>
        <w:r w:rsidR="00E204F3">
          <w:rPr>
            <w:noProof/>
            <w:webHidden/>
          </w:rPr>
          <w:tab/>
        </w:r>
        <w:r w:rsidR="00E204F3">
          <w:rPr>
            <w:noProof/>
            <w:webHidden/>
          </w:rPr>
          <w:fldChar w:fldCharType="begin"/>
        </w:r>
        <w:r w:rsidR="00E204F3">
          <w:rPr>
            <w:noProof/>
            <w:webHidden/>
          </w:rPr>
          <w:instrText xml:space="preserve"> PAGEREF _Toc243759653 \h </w:instrText>
        </w:r>
        <w:r w:rsidR="00E204F3">
          <w:rPr>
            <w:noProof/>
            <w:webHidden/>
          </w:rPr>
        </w:r>
        <w:r w:rsidR="00E204F3">
          <w:rPr>
            <w:noProof/>
            <w:webHidden/>
          </w:rPr>
          <w:fldChar w:fldCharType="separate"/>
        </w:r>
        <w:r w:rsidR="00E204F3">
          <w:rPr>
            <w:noProof/>
            <w:webHidden/>
          </w:rPr>
          <w:t>3</w:t>
        </w:r>
        <w:r w:rsidR="00E204F3">
          <w:rPr>
            <w:noProof/>
            <w:webHidden/>
          </w:rPr>
          <w:fldChar w:fldCharType="end"/>
        </w:r>
      </w:hyperlink>
    </w:p>
    <w:p w14:paraId="360F64EE" w14:textId="63897231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4" w:history="1">
        <w:r w:rsidRPr="00376FF8">
          <w:rPr>
            <w:rStyle w:val="Hyperlink"/>
            <w:noProof/>
          </w:rPr>
          <w:t>2. Audiences and Their Needs (User-Centred Design)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FCEB7" w14:textId="1FE1083A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5" w:history="1">
        <w:r w:rsidRPr="00376FF8">
          <w:rPr>
            <w:rStyle w:val="Hyperlink"/>
            <w:noProof/>
          </w:rPr>
          <w:t>3. Key Metrics to Visualise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9E433" w14:textId="415388A9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6" w:history="1">
        <w:r w:rsidRPr="00376FF8">
          <w:rPr>
            <w:rStyle w:val="Hyperlink"/>
            <w:noProof/>
          </w:rPr>
          <w:t>4. Tool Selection and Justification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444854" w14:textId="112CCA23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7" w:history="1">
        <w:r w:rsidRPr="00376FF8">
          <w:rPr>
            <w:rStyle w:val="Hyperlink"/>
            <w:noProof/>
          </w:rPr>
          <w:t>5. From Raw Data to Visual: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978327" w14:textId="5C3C5FB5" w:rsidR="00E204F3" w:rsidRDefault="00E204F3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8" w:history="1">
        <w:r w:rsidRPr="00376FF8">
          <w:rPr>
            <w:rStyle w:val="Hyperlink"/>
            <w:noProof/>
          </w:rPr>
          <w:t>5.1 Design and accessibility 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8F3154" w14:textId="46F1DBD6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59" w:history="1">
        <w:r w:rsidRPr="00376FF8">
          <w:rPr>
            <w:rStyle w:val="Hyperlink"/>
            <w:noProof/>
          </w:rPr>
          <w:t>6. Mock-ups and 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644C44" w14:textId="4F9C58C3" w:rsidR="00E204F3" w:rsidRDefault="00E204F3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60" w:history="1">
        <w:r w:rsidRPr="00376FF8">
          <w:rPr>
            <w:rStyle w:val="Hyperlink"/>
            <w:noProof/>
          </w:rPr>
          <w:t>6.1 Implemented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CEA3FE" w14:textId="5005392C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61" w:history="1">
        <w:r w:rsidRPr="00376FF8">
          <w:rPr>
            <w:rStyle w:val="Hyperlink"/>
            <w:noProof/>
          </w:rPr>
          <w:t>7. Visualisations and the Decisions They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1763891" w14:textId="0DA6967F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62" w:history="1">
        <w:r w:rsidRPr="00376FF8">
          <w:rPr>
            <w:rStyle w:val="Hyperlink"/>
            <w:noProof/>
          </w:rPr>
          <w:t>8. Communicating with Non-Technical Stakeholders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64DEBA" w14:textId="496D13EA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63" w:history="1">
        <w:r w:rsidRPr="00376FF8">
          <w:rPr>
            <w:rStyle w:val="Hyperlink"/>
            <w:noProof/>
          </w:rPr>
          <w:t>9. Evaluating the Visualisations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BC16D6D" w14:textId="73D0F9EE" w:rsidR="00E204F3" w:rsidRDefault="00E204F3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en-IN" w:eastAsia="en-IN"/>
          <w14:ligatures w14:val="standardContextual"/>
        </w:rPr>
      </w:pPr>
      <w:hyperlink w:anchor="_Toc243759664" w:history="1">
        <w:r w:rsidRPr="00376FF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_Toc243759664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F1AF74" w14:textId="168F98C9" w:rsidR="00AE3A21" w:rsidRDefault="00A14DFC">
      <w:r>
        <w:fldChar w:fldCharType="end"/>
      </w:r>
    </w:p>
    <w:p w14:paraId="09E4CC36" w14:textId="77777777" w:rsidR="00AE3A21" w:rsidRDefault="00A14DFC">
      <w:r>
        <w:br w:type="page"/>
      </w:r>
    </w:p>
    <w:p w14:paraId="297AE9A4" w14:textId="77777777" w:rsidR="00AE3A21" w:rsidRDefault="00A14DFC">
      <w:pPr>
        <w:jc w:val="both"/>
      </w:pPr>
      <w:r>
        <w:rPr>
          <w:i/>
          <w:color w:val="595959"/>
          <w:sz w:val="19"/>
        </w:rPr>
        <w:lastRenderedPageBreak/>
        <w:t>This plan defines what to visualise, for whom, with which tools and how. Mock-ups (wireframes) show the intended designs; the charts in Section 7 are real outputs produced when the plan was executed.</w:t>
      </w:r>
    </w:p>
    <w:p w14:paraId="6B6210FE" w14:textId="77777777" w:rsidR="00AE3A21" w:rsidRDefault="00A14DFC">
      <w:pPr>
        <w:pStyle w:val="Heading1"/>
      </w:pPr>
      <w:bookmarkStart w:id="0" w:name="_Toc243759653"/>
      <w:r>
        <w:t>1. Executive Summary</w:t>
      </w:r>
      <w:bookmarkEnd w:id="0"/>
    </w:p>
    <w:p w14:paraId="2C32C700" w14:textId="77777777" w:rsidR="00AE3A21" w:rsidRDefault="00A14DFC">
      <w:pPr>
        <w:jc w:val="both"/>
      </w:pPr>
      <w:r>
        <w:t>Data only improves care when the people who make decisions understand it. This plan identifies the healthcare metrics that matter to four audiences, selects tools for each purpose, describes a repeatable process for turning raw records into accurate visuals, and provides three dashboard and report mock-ups. Design follows evidence on graphical perception (Cleveland &amp; McGill, 1984), clarity (Tufte, 2001), narrative structure (Knaflic, 2015) and accessibility standards (W3C, 2023). Every visual is tied to a s</w:t>
      </w:r>
      <w:r>
        <w:t>pecific decision it supports.</w:t>
      </w:r>
    </w:p>
    <w:p w14:paraId="3309260A" w14:textId="77777777" w:rsidR="00AE3A21" w:rsidRDefault="00A14DFC">
      <w:r>
        <w:br w:type="page"/>
      </w:r>
    </w:p>
    <w:p w14:paraId="01051BB6" w14:textId="77777777" w:rsidR="00AE3A21" w:rsidRDefault="00A14DFC">
      <w:pPr>
        <w:pStyle w:val="Heading1"/>
      </w:pPr>
      <w:bookmarkStart w:id="1" w:name="_Toc243759654"/>
      <w:r>
        <w:lastRenderedPageBreak/>
        <w:t>2. Audiences and Their Needs (User-Centred Design)</w:t>
      </w:r>
      <w:bookmarkEnd w:id="1"/>
    </w:p>
    <w:p w14:paraId="3C04D2EF" w14:textId="7DE10584" w:rsidR="00AE3A21" w:rsidRDefault="00A14DFC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204F3">
        <w:rPr>
          <w:noProof/>
        </w:rPr>
        <w:t>1</w:t>
      </w:r>
      <w:r>
        <w:fldChar w:fldCharType="end"/>
      </w:r>
      <w:r>
        <w:t>. Audience personas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2608"/>
        <w:gridCol w:w="1701"/>
        <w:gridCol w:w="3061"/>
      </w:tblGrid>
      <w:tr w:rsidR="00AE3A21" w14:paraId="602549FC" w14:textId="77777777">
        <w:trPr>
          <w:tblHeader/>
          <w:jc w:val="center"/>
        </w:trPr>
        <w:tc>
          <w:tcPr>
            <w:tcW w:w="2041" w:type="dxa"/>
            <w:shd w:val="clear" w:color="auto" w:fill="1C5CAB"/>
          </w:tcPr>
          <w:p w14:paraId="201CEF0C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Persona</w:t>
            </w:r>
          </w:p>
        </w:tc>
        <w:tc>
          <w:tcPr>
            <w:tcW w:w="2608" w:type="dxa"/>
            <w:shd w:val="clear" w:color="auto" w:fill="1C5CAB"/>
          </w:tcPr>
          <w:p w14:paraId="110B6499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Key question</w:t>
            </w:r>
          </w:p>
        </w:tc>
        <w:tc>
          <w:tcPr>
            <w:tcW w:w="1701" w:type="dxa"/>
            <w:shd w:val="clear" w:color="auto" w:fill="1C5CAB"/>
          </w:tcPr>
          <w:p w14:paraId="7D1EEEC3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Context</w:t>
            </w:r>
          </w:p>
        </w:tc>
        <w:tc>
          <w:tcPr>
            <w:tcW w:w="3061" w:type="dxa"/>
            <w:shd w:val="clear" w:color="auto" w:fill="1C5CAB"/>
          </w:tcPr>
          <w:p w14:paraId="26BA9CFC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What they need to see</w:t>
            </w:r>
          </w:p>
        </w:tc>
      </w:tr>
      <w:tr w:rsidR="00AE3A21" w14:paraId="0941B0EA" w14:textId="77777777">
        <w:trPr>
          <w:jc w:val="center"/>
        </w:trPr>
        <w:tc>
          <w:tcPr>
            <w:tcW w:w="2041" w:type="dxa"/>
          </w:tcPr>
          <w:p w14:paraId="11942B9B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Hospital executive</w:t>
            </w:r>
          </w:p>
        </w:tc>
        <w:tc>
          <w:tcPr>
            <w:tcW w:w="2608" w:type="dxa"/>
          </w:tcPr>
          <w:p w14:paraId="7C5991BA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Are we improving? Where should we invest?</w:t>
            </w:r>
          </w:p>
        </w:tc>
        <w:tc>
          <w:tcPr>
            <w:tcW w:w="1701" w:type="dxa"/>
          </w:tcPr>
          <w:p w14:paraId="1338842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5 minutes, monthly</w:t>
            </w:r>
          </w:p>
        </w:tc>
        <w:tc>
          <w:tcPr>
            <w:tcW w:w="3061" w:type="dxa"/>
          </w:tcPr>
          <w:p w14:paraId="7A32C87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Headline KPIs, trend vs target, top 3 messages</w:t>
            </w:r>
          </w:p>
        </w:tc>
      </w:tr>
      <w:tr w:rsidR="00AE3A21" w14:paraId="4F3BD43B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382CA44D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Discharge planner / case manager</w:t>
            </w:r>
          </w:p>
        </w:tc>
        <w:tc>
          <w:tcPr>
            <w:tcW w:w="2608" w:type="dxa"/>
            <w:shd w:val="clear" w:color="auto" w:fill="F2F6FB"/>
          </w:tcPr>
          <w:p w14:paraId="23A7E6A8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Which of today's patients need extra support?</w:t>
            </w:r>
          </w:p>
        </w:tc>
        <w:tc>
          <w:tcPr>
            <w:tcW w:w="1701" w:type="dxa"/>
            <w:shd w:val="clear" w:color="auto" w:fill="F2F6FB"/>
          </w:tcPr>
          <w:p w14:paraId="7B4875D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Daily, on the ward</w:t>
            </w:r>
          </w:p>
        </w:tc>
        <w:tc>
          <w:tcPr>
            <w:tcW w:w="3061" w:type="dxa"/>
            <w:shd w:val="clear" w:color="auto" w:fill="F2F6FB"/>
          </w:tcPr>
          <w:p w14:paraId="25DDF63A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Worklist with plain-language reasons and checklist</w:t>
            </w:r>
          </w:p>
        </w:tc>
      </w:tr>
      <w:tr w:rsidR="00AE3A21" w14:paraId="1FFB8E89" w14:textId="77777777">
        <w:trPr>
          <w:jc w:val="center"/>
        </w:trPr>
        <w:tc>
          <w:tcPr>
            <w:tcW w:w="2041" w:type="dxa"/>
          </w:tcPr>
          <w:p w14:paraId="4549A803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Quality committee</w:t>
            </w:r>
          </w:p>
        </w:tc>
        <w:tc>
          <w:tcPr>
            <w:tcW w:w="2608" w:type="dxa"/>
          </w:tcPr>
          <w:p w14:paraId="35BF46FE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What drives readmissions? Is the evidence solid?</w:t>
            </w:r>
          </w:p>
        </w:tc>
        <w:tc>
          <w:tcPr>
            <w:tcW w:w="1701" w:type="dxa"/>
          </w:tcPr>
          <w:p w14:paraId="06135831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Quarterly, detailed</w:t>
            </w:r>
          </w:p>
        </w:tc>
        <w:tc>
          <w:tcPr>
            <w:tcW w:w="3061" w:type="dxa"/>
          </w:tcPr>
          <w:p w14:paraId="2F2B0214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Rates with confidence intervals, adjusted results, data-quality status</w:t>
            </w:r>
          </w:p>
        </w:tc>
      </w:tr>
      <w:tr w:rsidR="00AE3A21" w14:paraId="504707B5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1097EC5F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Clinician (diabetes team)</w:t>
            </w:r>
          </w:p>
        </w:tc>
        <w:tc>
          <w:tcPr>
            <w:tcW w:w="2608" w:type="dxa"/>
            <w:shd w:val="clear" w:color="auto" w:fill="F2F6FB"/>
          </w:tcPr>
          <w:p w14:paraId="2F53C0BE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Is HbA1c testing consistent?</w:t>
            </w:r>
          </w:p>
        </w:tc>
        <w:tc>
          <w:tcPr>
            <w:tcW w:w="1701" w:type="dxa"/>
            <w:shd w:val="clear" w:color="auto" w:fill="F2F6FB"/>
          </w:tcPr>
          <w:p w14:paraId="3B1616C2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Monthly</w:t>
            </w:r>
          </w:p>
        </w:tc>
        <w:tc>
          <w:tcPr>
            <w:tcW w:w="3061" w:type="dxa"/>
            <w:shd w:val="clear" w:color="auto" w:fill="F2F6FB"/>
          </w:tcPr>
          <w:p w14:paraId="5973F33B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Testing rate by diagnosis and ward</w:t>
            </w:r>
          </w:p>
        </w:tc>
      </w:tr>
    </w:tbl>
    <w:p w14:paraId="4FFF8C76" w14:textId="77777777" w:rsidR="00AE3A21" w:rsidRDefault="00AE3A21">
      <w:pPr>
        <w:spacing w:after="40"/>
      </w:pPr>
    </w:p>
    <w:p w14:paraId="19BC5F50" w14:textId="77777777" w:rsidR="00AE3A21" w:rsidRDefault="00A14DFC">
      <w:pPr>
        <w:jc w:val="both"/>
      </w:pPr>
      <w:r>
        <w:t>Design principle: start from the decision, not the data. Each persona's key question defines the first thing they see; detail is available on demand (filters, tooltips, data tables).</w:t>
      </w:r>
    </w:p>
    <w:p w14:paraId="6AA14EBC" w14:textId="77777777" w:rsidR="00AE3A21" w:rsidRDefault="00A14DFC">
      <w:r>
        <w:br w:type="page"/>
      </w:r>
    </w:p>
    <w:p w14:paraId="495677DC" w14:textId="77777777" w:rsidR="00AE3A21" w:rsidRDefault="00A14DFC">
      <w:pPr>
        <w:pStyle w:val="Heading1"/>
      </w:pPr>
      <w:bookmarkStart w:id="2" w:name="_Toc243759655"/>
      <w:r>
        <w:lastRenderedPageBreak/>
        <w:t>3. Key Metrics to Visualise</w:t>
      </w:r>
      <w:bookmarkEnd w:id="2"/>
    </w:p>
    <w:p w14:paraId="15410C8A" w14:textId="593B8556" w:rsidR="00AE3A21" w:rsidRDefault="00A14DFC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204F3">
        <w:rPr>
          <w:noProof/>
        </w:rPr>
        <w:t>2</w:t>
      </w:r>
      <w:r>
        <w:fldChar w:fldCharType="end"/>
      </w:r>
      <w:r>
        <w:t>. Metrics and visual encodings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494"/>
        <w:gridCol w:w="2835"/>
        <w:gridCol w:w="1814"/>
      </w:tblGrid>
      <w:tr w:rsidR="00AE3A21" w14:paraId="02D80499" w14:textId="77777777">
        <w:trPr>
          <w:tblHeader/>
          <w:jc w:val="center"/>
        </w:trPr>
        <w:tc>
          <w:tcPr>
            <w:tcW w:w="2268" w:type="dxa"/>
            <w:shd w:val="clear" w:color="auto" w:fill="1C5CAB"/>
          </w:tcPr>
          <w:p w14:paraId="7B8AC6E5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2494" w:type="dxa"/>
            <w:shd w:val="clear" w:color="auto" w:fill="1C5CAB"/>
          </w:tcPr>
          <w:p w14:paraId="15FD4B4F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w="2835" w:type="dxa"/>
            <w:shd w:val="clear" w:color="auto" w:fill="1C5CAB"/>
          </w:tcPr>
          <w:p w14:paraId="313EE2F4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Recommended visual</w:t>
            </w:r>
          </w:p>
        </w:tc>
        <w:tc>
          <w:tcPr>
            <w:tcW w:w="1814" w:type="dxa"/>
            <w:shd w:val="clear" w:color="auto" w:fill="1C5CAB"/>
          </w:tcPr>
          <w:p w14:paraId="54956888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Audience</w:t>
            </w:r>
          </w:p>
        </w:tc>
      </w:tr>
      <w:tr w:rsidR="00AE3A21" w14:paraId="2B2FCAF4" w14:textId="77777777">
        <w:trPr>
          <w:jc w:val="center"/>
        </w:trPr>
        <w:tc>
          <w:tcPr>
            <w:tcW w:w="2268" w:type="dxa"/>
          </w:tcPr>
          <w:p w14:paraId="3435173B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30-day readmission rate</w:t>
            </w:r>
          </w:p>
        </w:tc>
        <w:tc>
          <w:tcPr>
            <w:tcW w:w="2494" w:type="dxa"/>
          </w:tcPr>
          <w:p w14:paraId="73C90E5F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Core quality outcome</w:t>
            </w:r>
          </w:p>
        </w:tc>
        <w:tc>
          <w:tcPr>
            <w:tcW w:w="2835" w:type="dxa"/>
          </w:tcPr>
          <w:p w14:paraId="03393E7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KPI card with 95% CI; line chart over time</w:t>
            </w:r>
          </w:p>
        </w:tc>
        <w:tc>
          <w:tcPr>
            <w:tcW w:w="1814" w:type="dxa"/>
          </w:tcPr>
          <w:p w14:paraId="461EEB25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All</w:t>
            </w:r>
          </w:p>
        </w:tc>
      </w:tr>
      <w:tr w:rsidR="00AE3A21" w14:paraId="3C19149E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6389BB52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Rate by discharge destination</w:t>
            </w:r>
          </w:p>
        </w:tc>
        <w:tc>
          <w:tcPr>
            <w:tcW w:w="2494" w:type="dxa"/>
            <w:shd w:val="clear" w:color="auto" w:fill="F2F6FB"/>
          </w:tcPr>
          <w:p w14:paraId="35E419F9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Identifies where transition support is needed</w:t>
            </w:r>
          </w:p>
        </w:tc>
        <w:tc>
          <w:tcPr>
            <w:tcW w:w="2835" w:type="dxa"/>
            <w:shd w:val="clear" w:color="auto" w:fill="F2F6FB"/>
          </w:tcPr>
          <w:p w14:paraId="0AC52F7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Sorted horizontal bars with CIs</w:t>
            </w:r>
          </w:p>
        </w:tc>
        <w:tc>
          <w:tcPr>
            <w:tcW w:w="1814" w:type="dxa"/>
            <w:shd w:val="clear" w:color="auto" w:fill="F2F6FB"/>
          </w:tcPr>
          <w:p w14:paraId="49BB9392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Quality, case managers</w:t>
            </w:r>
          </w:p>
        </w:tc>
      </w:tr>
      <w:tr w:rsidR="00AE3A21" w14:paraId="0EBB5755" w14:textId="77777777">
        <w:trPr>
          <w:jc w:val="center"/>
        </w:trPr>
        <w:tc>
          <w:tcPr>
            <w:tcW w:w="2268" w:type="dxa"/>
          </w:tcPr>
          <w:p w14:paraId="2938BD4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Rate by prior admissions</w:t>
            </w:r>
          </w:p>
        </w:tc>
        <w:tc>
          <w:tcPr>
            <w:tcW w:w="2494" w:type="dxa"/>
          </w:tcPr>
          <w:p w14:paraId="00C30CE4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Simple risk-stratification signal</w:t>
            </w:r>
          </w:p>
        </w:tc>
        <w:tc>
          <w:tcPr>
            <w:tcW w:w="2835" w:type="dxa"/>
          </w:tcPr>
          <w:p w14:paraId="55D2391B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Ordered bars (0, 1, 2, 3+)</w:t>
            </w:r>
          </w:p>
        </w:tc>
        <w:tc>
          <w:tcPr>
            <w:tcW w:w="1814" w:type="dxa"/>
          </w:tcPr>
          <w:p w14:paraId="7CE59613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Case managers</w:t>
            </w:r>
          </w:p>
        </w:tc>
      </w:tr>
      <w:tr w:rsidR="00AE3A21" w14:paraId="0A91E476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4412183E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Rate by age and diagnosis</w:t>
            </w:r>
          </w:p>
        </w:tc>
        <w:tc>
          <w:tcPr>
            <w:tcW w:w="2494" w:type="dxa"/>
            <w:shd w:val="clear" w:color="auto" w:fill="F2F6FB"/>
          </w:tcPr>
          <w:p w14:paraId="0538DD7E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Targets clinical pathways</w:t>
            </w:r>
          </w:p>
        </w:tc>
        <w:tc>
          <w:tcPr>
            <w:tcW w:w="2835" w:type="dxa"/>
            <w:shd w:val="clear" w:color="auto" w:fill="F2F6FB"/>
          </w:tcPr>
          <w:p w14:paraId="7195CB84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Bars / small multiples</w:t>
            </w:r>
          </w:p>
        </w:tc>
        <w:tc>
          <w:tcPr>
            <w:tcW w:w="1814" w:type="dxa"/>
            <w:shd w:val="clear" w:color="auto" w:fill="F2F6FB"/>
          </w:tcPr>
          <w:p w14:paraId="1AAD6F42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Quality committee</w:t>
            </w:r>
          </w:p>
        </w:tc>
      </w:tr>
      <w:tr w:rsidR="00AE3A21" w14:paraId="7D8249E0" w14:textId="77777777">
        <w:trPr>
          <w:jc w:val="center"/>
        </w:trPr>
        <w:tc>
          <w:tcPr>
            <w:tcW w:w="2268" w:type="dxa"/>
          </w:tcPr>
          <w:p w14:paraId="19F64029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Length of stay distribution</w:t>
            </w:r>
          </w:p>
        </w:tc>
        <w:tc>
          <w:tcPr>
            <w:tcW w:w="2494" w:type="dxa"/>
          </w:tcPr>
          <w:p w14:paraId="17082EB4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Resource use, outliers</w:t>
            </w:r>
          </w:p>
        </w:tc>
        <w:tc>
          <w:tcPr>
            <w:tcW w:w="2835" w:type="dxa"/>
          </w:tcPr>
          <w:p w14:paraId="2FF45FA5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Histogram; box plot by diagnosis</w:t>
            </w:r>
          </w:p>
        </w:tc>
        <w:tc>
          <w:tcPr>
            <w:tcW w:w="1814" w:type="dxa"/>
          </w:tcPr>
          <w:p w14:paraId="4D0615E1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Executives, bed managers</w:t>
            </w:r>
          </w:p>
        </w:tc>
      </w:tr>
      <w:tr w:rsidR="00AE3A21" w14:paraId="18291021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0A592139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Bed-day share by diagnosis</w:t>
            </w:r>
          </w:p>
        </w:tc>
        <w:tc>
          <w:tcPr>
            <w:tcW w:w="2494" w:type="dxa"/>
            <w:shd w:val="clear" w:color="auto" w:fill="F2F6FB"/>
          </w:tcPr>
          <w:p w14:paraId="185C2B2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Where capacity goes</w:t>
            </w:r>
          </w:p>
        </w:tc>
        <w:tc>
          <w:tcPr>
            <w:tcW w:w="2835" w:type="dxa"/>
            <w:shd w:val="clear" w:color="auto" w:fill="F2F6FB"/>
          </w:tcPr>
          <w:p w14:paraId="22F0276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Sorted bars</w:t>
            </w:r>
          </w:p>
        </w:tc>
        <w:tc>
          <w:tcPr>
            <w:tcW w:w="1814" w:type="dxa"/>
            <w:shd w:val="clear" w:color="auto" w:fill="F2F6FB"/>
          </w:tcPr>
          <w:p w14:paraId="7225332C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Executives</w:t>
            </w:r>
          </w:p>
        </w:tc>
      </w:tr>
      <w:tr w:rsidR="00AE3A21" w14:paraId="62790EC4" w14:textId="77777777">
        <w:trPr>
          <w:jc w:val="center"/>
        </w:trPr>
        <w:tc>
          <w:tcPr>
            <w:tcW w:w="2268" w:type="dxa"/>
          </w:tcPr>
          <w:p w14:paraId="7A5C8040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HbA1c testing rate</w:t>
            </w:r>
          </w:p>
        </w:tc>
        <w:tc>
          <w:tcPr>
            <w:tcW w:w="2494" w:type="dxa"/>
          </w:tcPr>
          <w:p w14:paraId="49B1154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Care-process gap</w:t>
            </w:r>
          </w:p>
        </w:tc>
        <w:tc>
          <w:tcPr>
            <w:tcW w:w="2835" w:type="dxa"/>
          </w:tcPr>
          <w:p w14:paraId="298A32B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Bars by diagnosis; trend</w:t>
            </w:r>
          </w:p>
        </w:tc>
        <w:tc>
          <w:tcPr>
            <w:tcW w:w="1814" w:type="dxa"/>
          </w:tcPr>
          <w:p w14:paraId="35C85BD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Diabetes team</w:t>
            </w:r>
          </w:p>
        </w:tc>
      </w:tr>
      <w:tr w:rsidR="00AE3A21" w14:paraId="3921B62A" w14:textId="77777777">
        <w:trPr>
          <w:jc w:val="center"/>
        </w:trPr>
        <w:tc>
          <w:tcPr>
            <w:tcW w:w="2268" w:type="dxa"/>
            <w:shd w:val="clear" w:color="auto" w:fill="F2F6FB"/>
          </w:tcPr>
          <w:p w14:paraId="59385B1B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Data completeness</w:t>
            </w:r>
          </w:p>
        </w:tc>
        <w:tc>
          <w:tcPr>
            <w:tcW w:w="2494" w:type="dxa"/>
            <w:shd w:val="clear" w:color="auto" w:fill="F2F6FB"/>
          </w:tcPr>
          <w:p w14:paraId="620BF5D8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Trust in the numbers</w:t>
            </w:r>
          </w:p>
        </w:tc>
        <w:tc>
          <w:tcPr>
            <w:tcW w:w="2835" w:type="dxa"/>
            <w:shd w:val="clear" w:color="auto" w:fill="F2F6FB"/>
          </w:tcPr>
          <w:p w14:paraId="7FE353E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Traffic-light list with text labels</w:t>
            </w:r>
          </w:p>
        </w:tc>
        <w:tc>
          <w:tcPr>
            <w:tcW w:w="1814" w:type="dxa"/>
            <w:shd w:val="clear" w:color="auto" w:fill="F2F6FB"/>
          </w:tcPr>
          <w:p w14:paraId="4F16CF76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Quality, HIM</w:t>
            </w:r>
          </w:p>
        </w:tc>
      </w:tr>
      <w:tr w:rsidR="00AE3A21" w14:paraId="23E6507F" w14:textId="77777777">
        <w:trPr>
          <w:jc w:val="center"/>
        </w:trPr>
        <w:tc>
          <w:tcPr>
            <w:tcW w:w="2268" w:type="dxa"/>
          </w:tcPr>
          <w:p w14:paraId="5D5629FF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Model risk deciles</w:t>
            </w:r>
          </w:p>
        </w:tc>
        <w:tc>
          <w:tcPr>
            <w:tcW w:w="2494" w:type="dxa"/>
          </w:tcPr>
          <w:p w14:paraId="4D95F314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Whether a risk score separates patients</w:t>
            </w:r>
          </w:p>
        </w:tc>
        <w:tc>
          <w:tcPr>
            <w:tcW w:w="2835" w:type="dxa"/>
          </w:tcPr>
          <w:p w14:paraId="0C9B1F22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Bars of observed rate by decile</w:t>
            </w:r>
          </w:p>
        </w:tc>
        <w:tc>
          <w:tcPr>
            <w:tcW w:w="1814" w:type="dxa"/>
          </w:tcPr>
          <w:p w14:paraId="36061F2A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Quality, analytics</w:t>
            </w:r>
          </w:p>
        </w:tc>
      </w:tr>
    </w:tbl>
    <w:p w14:paraId="55AAE17E" w14:textId="77777777" w:rsidR="00AE3A21" w:rsidRDefault="00AE3A21">
      <w:pPr>
        <w:spacing w:after="40"/>
      </w:pPr>
    </w:p>
    <w:p w14:paraId="179971F2" w14:textId="77777777" w:rsidR="00AE3A21" w:rsidRDefault="00A14DFC">
      <w:r>
        <w:br w:type="page"/>
      </w:r>
    </w:p>
    <w:p w14:paraId="74B51C37" w14:textId="77777777" w:rsidR="00AE3A21" w:rsidRDefault="00A14DFC">
      <w:pPr>
        <w:pStyle w:val="Heading1"/>
      </w:pPr>
      <w:bookmarkStart w:id="3" w:name="_Toc243759656"/>
      <w:r>
        <w:lastRenderedPageBreak/>
        <w:t>4. Tool Selection and Justification</w:t>
      </w:r>
      <w:bookmarkEnd w:id="3"/>
    </w:p>
    <w:p w14:paraId="630858DF" w14:textId="2E7F50ED" w:rsidR="00AE3A21" w:rsidRDefault="00A14DFC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204F3">
        <w:rPr>
          <w:noProof/>
        </w:rPr>
        <w:t>3</w:t>
      </w:r>
      <w:r>
        <w:fldChar w:fldCharType="end"/>
      </w:r>
      <w:r>
        <w:t>. Tool comparison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061"/>
        <w:gridCol w:w="2494"/>
        <w:gridCol w:w="2154"/>
      </w:tblGrid>
      <w:tr w:rsidR="00AE3A21" w14:paraId="00CF4701" w14:textId="77777777">
        <w:trPr>
          <w:tblHeader/>
          <w:jc w:val="center"/>
        </w:trPr>
        <w:tc>
          <w:tcPr>
            <w:tcW w:w="1701" w:type="dxa"/>
            <w:shd w:val="clear" w:color="auto" w:fill="1C5CAB"/>
          </w:tcPr>
          <w:p w14:paraId="52465C9F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3061" w:type="dxa"/>
            <w:shd w:val="clear" w:color="auto" w:fill="1C5CAB"/>
          </w:tcPr>
          <w:p w14:paraId="705C1208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Strengths</w:t>
            </w:r>
          </w:p>
        </w:tc>
        <w:tc>
          <w:tcPr>
            <w:tcW w:w="2494" w:type="dxa"/>
            <w:shd w:val="clear" w:color="auto" w:fill="1C5CAB"/>
          </w:tcPr>
          <w:p w14:paraId="172CA7AF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Limitations</w:t>
            </w:r>
          </w:p>
        </w:tc>
        <w:tc>
          <w:tcPr>
            <w:tcW w:w="2154" w:type="dxa"/>
            <w:shd w:val="clear" w:color="auto" w:fill="1C5CAB"/>
          </w:tcPr>
          <w:p w14:paraId="272991E8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Role in this plan</w:t>
            </w:r>
          </w:p>
        </w:tc>
      </w:tr>
      <w:tr w:rsidR="00AE3A21" w14:paraId="57C5B2F2" w14:textId="77777777">
        <w:trPr>
          <w:jc w:val="center"/>
        </w:trPr>
        <w:tc>
          <w:tcPr>
            <w:tcW w:w="1701" w:type="dxa"/>
          </w:tcPr>
          <w:p w14:paraId="2AE39D0C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Power BI</w:t>
            </w:r>
          </w:p>
        </w:tc>
        <w:tc>
          <w:tcPr>
            <w:tcW w:w="3061" w:type="dxa"/>
          </w:tcPr>
          <w:p w14:paraId="790CAB3A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Interactive dashboards, DAX measures, row-level security, widely used in hospitals</w:t>
            </w:r>
          </w:p>
        </w:tc>
        <w:tc>
          <w:tcPr>
            <w:tcW w:w="2494" w:type="dxa"/>
          </w:tcPr>
          <w:p w14:paraId="7611BB8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Licence for sharing; Windows desktop authoring</w:t>
            </w:r>
          </w:p>
        </w:tc>
        <w:tc>
          <w:tcPr>
            <w:tcW w:w="2154" w:type="dxa"/>
          </w:tcPr>
          <w:p w14:paraId="215512FA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Primary production dashboard</w:t>
            </w:r>
          </w:p>
        </w:tc>
      </w:tr>
      <w:tr w:rsidR="00AE3A21" w14:paraId="1048BADE" w14:textId="77777777">
        <w:trPr>
          <w:jc w:val="center"/>
        </w:trPr>
        <w:tc>
          <w:tcPr>
            <w:tcW w:w="1701" w:type="dxa"/>
            <w:shd w:val="clear" w:color="auto" w:fill="F2F6FB"/>
          </w:tcPr>
          <w:p w14:paraId="566EDB9C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Tableau</w:t>
            </w:r>
          </w:p>
        </w:tc>
        <w:tc>
          <w:tcPr>
            <w:tcW w:w="3061" w:type="dxa"/>
            <w:shd w:val="clear" w:color="auto" w:fill="F2F6FB"/>
          </w:tcPr>
          <w:p w14:paraId="75EBC683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Strong visual exploration</w:t>
            </w:r>
          </w:p>
        </w:tc>
        <w:tc>
          <w:tcPr>
            <w:tcW w:w="2494" w:type="dxa"/>
            <w:shd w:val="clear" w:color="auto" w:fill="F2F6FB"/>
          </w:tcPr>
          <w:p w14:paraId="712B7D6F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Licence cost</w:t>
            </w:r>
          </w:p>
        </w:tc>
        <w:tc>
          <w:tcPr>
            <w:tcW w:w="2154" w:type="dxa"/>
            <w:shd w:val="clear" w:color="auto" w:fill="F2F6FB"/>
          </w:tcPr>
          <w:p w14:paraId="2C77F041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Alternative if already licensed</w:t>
            </w:r>
          </w:p>
        </w:tc>
      </w:tr>
      <w:tr w:rsidR="00AE3A21" w14:paraId="64F1E31C" w14:textId="77777777">
        <w:trPr>
          <w:jc w:val="center"/>
        </w:trPr>
        <w:tc>
          <w:tcPr>
            <w:tcW w:w="1701" w:type="dxa"/>
          </w:tcPr>
          <w:p w14:paraId="5135948A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Python (Matplotlib, seaborn)</w:t>
            </w:r>
          </w:p>
        </w:tc>
        <w:tc>
          <w:tcPr>
            <w:tcW w:w="3061" w:type="dxa"/>
          </w:tcPr>
          <w:p w14:paraId="0F904D53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Exact control, reproducible, publication quality</w:t>
            </w:r>
          </w:p>
        </w:tc>
        <w:tc>
          <w:tcPr>
            <w:tcW w:w="2494" w:type="dxa"/>
          </w:tcPr>
          <w:p w14:paraId="2DF31ECD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Static; needs coding</w:t>
            </w:r>
          </w:p>
        </w:tc>
        <w:tc>
          <w:tcPr>
            <w:tcW w:w="2154" w:type="dxa"/>
          </w:tcPr>
          <w:p w14:paraId="62F17A68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Report figures</w:t>
            </w:r>
          </w:p>
        </w:tc>
      </w:tr>
      <w:tr w:rsidR="00AE3A21" w14:paraId="3EFDCC88" w14:textId="77777777">
        <w:trPr>
          <w:jc w:val="center"/>
        </w:trPr>
        <w:tc>
          <w:tcPr>
            <w:tcW w:w="1701" w:type="dxa"/>
            <w:shd w:val="clear" w:color="auto" w:fill="F2F6FB"/>
          </w:tcPr>
          <w:p w14:paraId="2EA2A8A0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HTML + JavaScript</w:t>
            </w:r>
          </w:p>
        </w:tc>
        <w:tc>
          <w:tcPr>
            <w:tcW w:w="3061" w:type="dxa"/>
            <w:shd w:val="clear" w:color="auto" w:fill="F2F6FB"/>
          </w:tcPr>
          <w:p w14:paraId="312BDAD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Runs offline in any browser; no licence</w:t>
            </w:r>
          </w:p>
        </w:tc>
        <w:tc>
          <w:tcPr>
            <w:tcW w:w="2494" w:type="dxa"/>
            <w:shd w:val="clear" w:color="auto" w:fill="F2F6FB"/>
          </w:tcPr>
          <w:p w14:paraId="7A774657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Development effort</w:t>
            </w:r>
          </w:p>
        </w:tc>
        <w:tc>
          <w:tcPr>
            <w:tcW w:w="2154" w:type="dxa"/>
            <w:shd w:val="clear" w:color="auto" w:fill="F2F6FB"/>
          </w:tcPr>
          <w:p w14:paraId="4CD26872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Portable dashboard (delivered)</w:t>
            </w:r>
          </w:p>
        </w:tc>
      </w:tr>
      <w:tr w:rsidR="00AE3A21" w14:paraId="6172919C" w14:textId="77777777">
        <w:trPr>
          <w:jc w:val="center"/>
        </w:trPr>
        <w:tc>
          <w:tcPr>
            <w:tcW w:w="1701" w:type="dxa"/>
          </w:tcPr>
          <w:p w14:paraId="299C658F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Excel</w:t>
            </w:r>
          </w:p>
        </w:tc>
        <w:tc>
          <w:tcPr>
            <w:tcW w:w="3061" w:type="dxa"/>
          </w:tcPr>
          <w:p w14:paraId="6FF0E4DB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Familiar to all staff</w:t>
            </w:r>
          </w:p>
        </w:tc>
        <w:tc>
          <w:tcPr>
            <w:tcW w:w="2494" w:type="dxa"/>
          </w:tcPr>
          <w:p w14:paraId="07889176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Error-prone for complex logic; weak interactivity</w:t>
            </w:r>
          </w:p>
        </w:tc>
        <w:tc>
          <w:tcPr>
            <w:tcW w:w="2154" w:type="dxa"/>
          </w:tcPr>
          <w:p w14:paraId="1D40FE90" w14:textId="77777777" w:rsidR="00AE3A21" w:rsidRDefault="00A14DFC">
            <w:pPr>
              <w:spacing w:after="0" w:line="240" w:lineRule="auto"/>
            </w:pPr>
            <w:r>
              <w:rPr>
                <w:sz w:val="16"/>
              </w:rPr>
              <w:t>Ad-hoc tables only</w:t>
            </w:r>
          </w:p>
        </w:tc>
      </w:tr>
    </w:tbl>
    <w:p w14:paraId="0348E977" w14:textId="77777777" w:rsidR="00AE3A21" w:rsidRDefault="00AE3A21">
      <w:pPr>
        <w:spacing w:after="40"/>
      </w:pPr>
    </w:p>
    <w:p w14:paraId="1F311AE7" w14:textId="77777777" w:rsidR="00AE3A21" w:rsidRDefault="00A14DFC">
      <w:pPr>
        <w:jc w:val="both"/>
      </w:pPr>
      <w:r>
        <w:t>Choice: Python for the analytical figures (reproducible from code), a self-contained HTML dashboard for immediate use without licences, and a Power BI build pack (star-schema data model and DAX measures) for organisations that standardise on Power BI.</w:t>
      </w:r>
    </w:p>
    <w:p w14:paraId="39E1CAE4" w14:textId="77777777" w:rsidR="00AE3A21" w:rsidRDefault="00A14DFC">
      <w:r>
        <w:br w:type="page"/>
      </w:r>
    </w:p>
    <w:p w14:paraId="2631556F" w14:textId="77777777" w:rsidR="00AE3A21" w:rsidRDefault="00A14DFC">
      <w:pPr>
        <w:pStyle w:val="Heading1"/>
      </w:pPr>
      <w:bookmarkStart w:id="4" w:name="_Toc243759657"/>
      <w:r>
        <w:lastRenderedPageBreak/>
        <w:t>5. From Raw Data to Visual: Process</w:t>
      </w:r>
      <w:bookmarkEnd w:id="4"/>
    </w:p>
    <w:p w14:paraId="4DA75D8A" w14:textId="77777777" w:rsidR="00AE3A21" w:rsidRDefault="00A14DFC">
      <w:pPr>
        <w:spacing w:after="60"/>
        <w:ind w:left="425" w:hanging="283"/>
      </w:pPr>
      <w:r>
        <w:t xml:space="preserve">1.  </w:t>
      </w:r>
      <w:r>
        <w:t>Start from the quality-assured analysis cohort (never from raw data).</w:t>
      </w:r>
    </w:p>
    <w:p w14:paraId="28BC4549" w14:textId="77777777" w:rsidR="00AE3A21" w:rsidRDefault="00A14DFC">
      <w:pPr>
        <w:spacing w:after="60"/>
        <w:ind w:left="425" w:hanging="283"/>
      </w:pPr>
      <w:r>
        <w:t>2.  Aggregate to the level of the decision (e.g. rate per discharge group).</w:t>
      </w:r>
    </w:p>
    <w:p w14:paraId="59BAC64D" w14:textId="77777777" w:rsidR="00AE3A21" w:rsidRDefault="00A14DFC">
      <w:pPr>
        <w:spacing w:after="60"/>
        <w:ind w:left="425" w:hanging="283"/>
      </w:pPr>
      <w:r>
        <w:t>3.  Compute uncertainty: 95% Wilson confidence intervals for every rate (Wilson, 1927).</w:t>
      </w:r>
    </w:p>
    <w:p w14:paraId="6D566E6F" w14:textId="77777777" w:rsidR="00AE3A21" w:rsidRDefault="00A14DFC">
      <w:pPr>
        <w:spacing w:after="60"/>
        <w:ind w:left="425" w:hanging="283"/>
      </w:pPr>
      <w:r>
        <w:t>4.  Suppress groups with fewer than 30 patients (privacy and stability).</w:t>
      </w:r>
    </w:p>
    <w:p w14:paraId="27D778D5" w14:textId="77777777" w:rsidR="00AE3A21" w:rsidRDefault="00A14DFC">
      <w:pPr>
        <w:spacing w:after="60"/>
        <w:ind w:left="425" w:hanging="283"/>
      </w:pPr>
      <w:r>
        <w:t>5.  Choose the encoding by the question: position and length are read most accurately (Cleveland &amp; McGill, 1984).</w:t>
      </w:r>
    </w:p>
    <w:p w14:paraId="10435B6C" w14:textId="77777777" w:rsidR="00AE3A21" w:rsidRDefault="00A14DFC">
      <w:pPr>
        <w:spacing w:after="60"/>
        <w:ind w:left="425" w:hanging="283"/>
      </w:pPr>
      <w:r>
        <w:t xml:space="preserve">6.  </w:t>
      </w:r>
      <w:r>
        <w:t>Apply the design system: one colour per series, colour-blind-safe palette, no dual axes.</w:t>
      </w:r>
    </w:p>
    <w:p w14:paraId="03170220" w14:textId="77777777" w:rsidR="00AE3A21" w:rsidRDefault="00A14DFC">
      <w:pPr>
        <w:spacing w:after="60"/>
        <w:ind w:left="425" w:hanging="283"/>
      </w:pPr>
      <w:r>
        <w:t>7.  Write a title that states the finding and an interpretation sentence.</w:t>
      </w:r>
    </w:p>
    <w:p w14:paraId="24B92878" w14:textId="77777777" w:rsidR="00AE3A21" w:rsidRDefault="00A14DFC">
      <w:pPr>
        <w:spacing w:after="60"/>
        <w:ind w:left="425" w:hanging="283"/>
      </w:pPr>
      <w:r>
        <w:t>8.  Validate: check every number against the source table; test with one target user.</w:t>
      </w:r>
    </w:p>
    <w:p w14:paraId="6E5248D4" w14:textId="77777777" w:rsidR="00AE3A21" w:rsidRDefault="00A14DFC">
      <w:pPr>
        <w:spacing w:after="60"/>
        <w:ind w:left="425" w:hanging="283"/>
      </w:pPr>
      <w:r>
        <w:t>9.  Publish with method notes and a data-table alternative.</w:t>
      </w:r>
    </w:p>
    <w:p w14:paraId="65C0D790" w14:textId="77777777" w:rsidR="00AE3A21" w:rsidRDefault="00A14DFC">
      <w:pPr>
        <w:pStyle w:val="Heading2"/>
      </w:pPr>
      <w:bookmarkStart w:id="5" w:name="_Toc243759658"/>
      <w:r>
        <w:t>5.1 Design and accessibility standards</w:t>
      </w:r>
      <w:bookmarkEnd w:id="5"/>
    </w:p>
    <w:p w14:paraId="321A948B" w14:textId="15FC52B1" w:rsidR="00AE3A21" w:rsidRDefault="00A14DFC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204F3">
        <w:rPr>
          <w:noProof/>
        </w:rPr>
        <w:t>4</w:t>
      </w:r>
      <w:r>
        <w:fldChar w:fldCharType="end"/>
      </w:r>
      <w:r>
        <w:t>. Design and accessibility standards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70"/>
      </w:tblGrid>
      <w:tr w:rsidR="00AE3A21" w14:paraId="604D002E" w14:textId="77777777">
        <w:trPr>
          <w:tblHeader/>
          <w:jc w:val="center"/>
        </w:trPr>
        <w:tc>
          <w:tcPr>
            <w:tcW w:w="2041" w:type="dxa"/>
            <w:shd w:val="clear" w:color="auto" w:fill="1C5CAB"/>
          </w:tcPr>
          <w:p w14:paraId="40C15B2F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w="7370" w:type="dxa"/>
            <w:shd w:val="clear" w:color="auto" w:fill="1C5CAB"/>
          </w:tcPr>
          <w:p w14:paraId="54D3E6E0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Standard</w:t>
            </w:r>
          </w:p>
        </w:tc>
      </w:tr>
      <w:tr w:rsidR="00AE3A21" w14:paraId="096F3489" w14:textId="77777777">
        <w:trPr>
          <w:jc w:val="center"/>
        </w:trPr>
        <w:tc>
          <w:tcPr>
            <w:tcW w:w="2041" w:type="dxa"/>
          </w:tcPr>
          <w:p w14:paraId="050CD8A1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Colour</w:t>
            </w:r>
          </w:p>
        </w:tc>
        <w:tc>
          <w:tcPr>
            <w:tcW w:w="7370" w:type="dxa"/>
          </w:tcPr>
          <w:p w14:paraId="58DF4BE3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Colour-vision-deficiency-safe palette; never rely on colour alone (add labels or icons)</w:t>
            </w:r>
          </w:p>
        </w:tc>
      </w:tr>
      <w:tr w:rsidR="00AE3A21" w14:paraId="21F0DCFC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0A3F22EC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Contrast</w:t>
            </w:r>
          </w:p>
        </w:tc>
        <w:tc>
          <w:tcPr>
            <w:tcW w:w="7370" w:type="dxa"/>
            <w:shd w:val="clear" w:color="auto" w:fill="F2F6FB"/>
          </w:tcPr>
          <w:p w14:paraId="332B5F3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Text contrast at least 4.5:1 (WCAG 2.2)</w:t>
            </w:r>
          </w:p>
        </w:tc>
      </w:tr>
      <w:tr w:rsidR="00AE3A21" w14:paraId="4C22F4BE" w14:textId="77777777">
        <w:trPr>
          <w:jc w:val="center"/>
        </w:trPr>
        <w:tc>
          <w:tcPr>
            <w:tcW w:w="2041" w:type="dxa"/>
          </w:tcPr>
          <w:p w14:paraId="305A69C4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Alternatives</w:t>
            </w:r>
          </w:p>
        </w:tc>
        <w:tc>
          <w:tcPr>
            <w:tcW w:w="7370" w:type="dxa"/>
          </w:tcPr>
          <w:p w14:paraId="17986337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Every chart has a data table and alt text</w:t>
            </w:r>
          </w:p>
        </w:tc>
      </w:tr>
      <w:tr w:rsidR="00AE3A21" w14:paraId="49C98F37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74140CF7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Keyboard and screen readers</w:t>
            </w:r>
          </w:p>
        </w:tc>
        <w:tc>
          <w:tcPr>
            <w:tcW w:w="7370" w:type="dxa"/>
            <w:shd w:val="clear" w:color="auto" w:fill="F2F6FB"/>
          </w:tcPr>
          <w:p w14:paraId="404247CE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Filters usable by keyboard; charts labelled for assistive technology</w:t>
            </w:r>
          </w:p>
        </w:tc>
      </w:tr>
      <w:tr w:rsidR="00AE3A21" w14:paraId="557B3534" w14:textId="77777777">
        <w:trPr>
          <w:jc w:val="center"/>
        </w:trPr>
        <w:tc>
          <w:tcPr>
            <w:tcW w:w="2041" w:type="dxa"/>
          </w:tcPr>
          <w:p w14:paraId="5488019A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Language</w:t>
            </w:r>
          </w:p>
        </w:tc>
        <w:tc>
          <w:tcPr>
            <w:tcW w:w="7370" w:type="dxa"/>
          </w:tcPr>
          <w:p w14:paraId="00B25BDF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Plain-language titles; avoid jargon such as 'AUC' on executive views</w:t>
            </w:r>
          </w:p>
        </w:tc>
      </w:tr>
      <w:tr w:rsidR="00AE3A21" w14:paraId="6C91D836" w14:textId="77777777">
        <w:trPr>
          <w:jc w:val="center"/>
        </w:trPr>
        <w:tc>
          <w:tcPr>
            <w:tcW w:w="2041" w:type="dxa"/>
            <w:shd w:val="clear" w:color="auto" w:fill="F2F6FB"/>
          </w:tcPr>
          <w:p w14:paraId="72B4F8C3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Uncertainty</w:t>
            </w:r>
          </w:p>
        </w:tc>
        <w:tc>
          <w:tcPr>
            <w:tcW w:w="7370" w:type="dxa"/>
            <w:shd w:val="clear" w:color="auto" w:fill="F2F6FB"/>
          </w:tcPr>
          <w:p w14:paraId="23B8333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Show confidence intervals; grey out small groups</w:t>
            </w:r>
          </w:p>
        </w:tc>
      </w:tr>
      <w:tr w:rsidR="00AE3A21" w14:paraId="56876105" w14:textId="77777777">
        <w:trPr>
          <w:jc w:val="center"/>
        </w:trPr>
        <w:tc>
          <w:tcPr>
            <w:tcW w:w="2041" w:type="dxa"/>
          </w:tcPr>
          <w:p w14:paraId="32208CE6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Integrity</w:t>
            </w:r>
          </w:p>
        </w:tc>
        <w:tc>
          <w:tcPr>
            <w:tcW w:w="7370" w:type="dxa"/>
          </w:tcPr>
          <w:p w14:paraId="25CA2202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Zero-based bars; no 3-D; no dual axes; consistent scales between periods</w:t>
            </w:r>
          </w:p>
        </w:tc>
      </w:tr>
    </w:tbl>
    <w:p w14:paraId="22A1E2CC" w14:textId="77777777" w:rsidR="00AE3A21" w:rsidRDefault="00AE3A21">
      <w:pPr>
        <w:spacing w:after="40"/>
      </w:pPr>
    </w:p>
    <w:p w14:paraId="378667C1" w14:textId="77777777" w:rsidR="00AE3A21" w:rsidRDefault="00A14DFC">
      <w:r>
        <w:br w:type="page"/>
      </w:r>
    </w:p>
    <w:p w14:paraId="3A472111" w14:textId="77777777" w:rsidR="00AE3A21" w:rsidRDefault="00A14DFC">
      <w:pPr>
        <w:pStyle w:val="Heading1"/>
      </w:pPr>
      <w:bookmarkStart w:id="6" w:name="_Toc243759659"/>
      <w:r>
        <w:lastRenderedPageBreak/>
        <w:t>6. Mock-ups and Wireframes</w:t>
      </w:r>
      <w:bookmarkEnd w:id="6"/>
    </w:p>
    <w:p w14:paraId="55CC6DBB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73B31C28" wp14:editId="394C29E9">
            <wp:extent cx="5903999" cy="37082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executive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6FA2" w14:textId="470D9FA1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1</w:t>
      </w:r>
      <w:r>
        <w:fldChar w:fldCharType="end"/>
      </w:r>
      <w:r>
        <w:t>. Wireframe: executive overview dashboard</w:t>
      </w:r>
    </w:p>
    <w:p w14:paraId="25B96562" w14:textId="77777777" w:rsidR="00AE3A21" w:rsidRDefault="00A14DFC">
      <w:r>
        <w:rPr>
          <w:b/>
        </w:rPr>
        <w:t xml:space="preserve">Interpretation. </w:t>
      </w:r>
      <w:r>
        <w:t>Answers 'are we improving and where should we act?' in under five minutes: KPI cards on top, trend against target, the main driver (discharge destination) and plain-language key messages.</w:t>
      </w:r>
    </w:p>
    <w:p w14:paraId="547317AC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39F0A164" wp14:editId="5F6C59AF">
            <wp:extent cx="5903999" cy="37082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operational_work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0EBA" w14:textId="07F96804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2</w:t>
      </w:r>
      <w:r>
        <w:fldChar w:fldCharType="end"/>
      </w:r>
      <w:r>
        <w:t>. Wireframe: discharge-planning worklist</w:t>
      </w:r>
    </w:p>
    <w:p w14:paraId="2621EF55" w14:textId="77777777" w:rsidR="00AE3A21" w:rsidRDefault="00A14DFC">
      <w:r>
        <w:rPr>
          <w:b/>
        </w:rPr>
        <w:lastRenderedPageBreak/>
        <w:t xml:space="preserve">Interpretation. </w:t>
      </w:r>
      <w:r>
        <w:t>Turns analysis into daily action: patients ranked into priority groups, with reasons in plain language and a discharge checklist. Clinician judgement always overrides the flag.</w:t>
      </w:r>
    </w:p>
    <w:p w14:paraId="7EE749B8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5AB97F0A" wp14:editId="194B9520">
            <wp:extent cx="5903999" cy="37082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quality_re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0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20BE" w14:textId="2F3574A3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3</w:t>
      </w:r>
      <w:r>
        <w:fldChar w:fldCharType="end"/>
      </w:r>
      <w:r>
        <w:t>. Wireframe: quarterly one-page quality brief</w:t>
      </w:r>
    </w:p>
    <w:p w14:paraId="5B68C71A" w14:textId="77777777" w:rsidR="00AE3A21" w:rsidRDefault="00A14DFC">
      <w:r>
        <w:rPr>
          <w:b/>
        </w:rPr>
        <w:t xml:space="preserve">Interpretation. </w:t>
      </w:r>
      <w:r>
        <w:t>A printable page with a headline sentence, two consistent charts, a data-quality traffic light (with text labels) and owned actions.</w:t>
      </w:r>
    </w:p>
    <w:p w14:paraId="5DAB257B" w14:textId="77777777" w:rsidR="00AE3A21" w:rsidRDefault="00A14DFC">
      <w:pPr>
        <w:pStyle w:val="Heading2"/>
      </w:pPr>
      <w:bookmarkStart w:id="7" w:name="_Toc243759660"/>
      <w:r>
        <w:lastRenderedPageBreak/>
        <w:t>6.1 Implemented dashboard</w:t>
      </w:r>
      <w:bookmarkEnd w:id="7"/>
    </w:p>
    <w:p w14:paraId="09C9D540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03A4B516" wp14:editId="60C3B2E7">
            <wp:extent cx="4320000" cy="71470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screenshot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4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AB81" w14:textId="4CF4A40D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4</w:t>
      </w:r>
      <w:r>
        <w:fldChar w:fldCharType="end"/>
      </w:r>
      <w:r>
        <w:t>. Implemented interactive dashboard (desktop view)</w:t>
      </w:r>
    </w:p>
    <w:p w14:paraId="5DEE30A1" w14:textId="77777777" w:rsidR="00AE3A21" w:rsidRDefault="00A14DFC">
      <w:r>
        <w:rPr>
          <w:b/>
        </w:rPr>
        <w:t xml:space="preserve">Interpretation. </w:t>
      </w:r>
      <w:r>
        <w:t>The executed version includes five filters, six KPI cards with confidence intervals, six charts with tooltips and data tables, and automatic suppression of small groups.</w:t>
      </w:r>
    </w:p>
    <w:p w14:paraId="15CC763E" w14:textId="77777777" w:rsidR="00AE3A21" w:rsidRDefault="00A14DFC">
      <w:r>
        <w:br w:type="page"/>
      </w:r>
    </w:p>
    <w:p w14:paraId="5FE0F59F" w14:textId="77777777" w:rsidR="00AE3A21" w:rsidRDefault="00A14DFC">
      <w:pPr>
        <w:pStyle w:val="Heading1"/>
      </w:pPr>
      <w:bookmarkStart w:id="8" w:name="_Toc243759661"/>
      <w:r>
        <w:lastRenderedPageBreak/>
        <w:t>7. Visualisations and the Decisions They Support</w:t>
      </w:r>
      <w:bookmarkEnd w:id="8"/>
    </w:p>
    <w:p w14:paraId="543BD171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4EB344AC" wp14:editId="4E5E64E2">
            <wp:extent cx="5040000" cy="2100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0_executive_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BF7C" w14:textId="671B9B3E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5</w:t>
      </w:r>
      <w:r>
        <w:fldChar w:fldCharType="end"/>
      </w:r>
      <w:r>
        <w:t>. Executive KPI overview</w:t>
      </w:r>
    </w:p>
    <w:p w14:paraId="1D64ACF3" w14:textId="77777777" w:rsidR="00AE3A21" w:rsidRDefault="00A14DFC">
      <w:r>
        <w:rPr>
          <w:b/>
        </w:rPr>
        <w:t xml:space="preserve">Interpretation. </w:t>
      </w:r>
      <w:r>
        <w:t>Sets the baseline: 9.0% of patients readmitted within 30 days; supports target setting.</w:t>
      </w:r>
    </w:p>
    <w:p w14:paraId="3A4BA2E5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1651093F" wp14:editId="3DDC72E1">
            <wp:extent cx="5040000" cy="2453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readmission_by_dischar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0303" w14:textId="45E12E26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6</w:t>
      </w:r>
      <w:r>
        <w:fldChar w:fldCharType="end"/>
      </w:r>
      <w:r>
        <w:t>. Readmission by discharge destination</w:t>
      </w:r>
    </w:p>
    <w:p w14:paraId="75413911" w14:textId="77777777" w:rsidR="00AE3A21" w:rsidRDefault="00A14DFC">
      <w:r>
        <w:rPr>
          <w:b/>
        </w:rPr>
        <w:t xml:space="preserve">Interpretation. </w:t>
      </w:r>
      <w:r>
        <w:t>Problem identified: facility discharges are readmitted at 15.2% vs 7.5%. Decision: prioritise facility hand-offs.</w:t>
      </w:r>
    </w:p>
    <w:p w14:paraId="62373D1C" w14:textId="77777777" w:rsidR="00AE3A21" w:rsidRDefault="00A14D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D2FF608" wp14:editId="43FE7802">
            <wp:extent cx="5040000" cy="26676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prior_inpat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365B" w14:textId="148EC359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7</w:t>
      </w:r>
      <w:r>
        <w:fldChar w:fldCharType="end"/>
      </w:r>
      <w:r>
        <w:t>. Readmission by prior admissions</w:t>
      </w:r>
    </w:p>
    <w:p w14:paraId="60A2436F" w14:textId="77777777" w:rsidR="00AE3A21" w:rsidRDefault="00A14DFC">
      <w:r>
        <w:rPr>
          <w:b/>
        </w:rPr>
        <w:t xml:space="preserve">Interpretation. </w:t>
      </w:r>
      <w:r>
        <w:t>Problem identified: a steep risk gradient. Decision: flag patients with prior admissions for early discharge planning.</w:t>
      </w:r>
    </w:p>
    <w:p w14:paraId="4C01D543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144EBC2C" wp14:editId="2B95967D">
            <wp:extent cx="5040000" cy="21559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hba1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404E" w14:textId="7D95D604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8</w:t>
      </w:r>
      <w:r>
        <w:fldChar w:fldCharType="end"/>
      </w:r>
      <w:r>
        <w:t>. HbA1c testing and readmission</w:t>
      </w:r>
    </w:p>
    <w:p w14:paraId="4A32EFCA" w14:textId="77777777" w:rsidR="00AE3A21" w:rsidRDefault="00A14DFC">
      <w:r>
        <w:rPr>
          <w:b/>
        </w:rPr>
        <w:t xml:space="preserve">Interpretation. </w:t>
      </w:r>
      <w:r>
        <w:t>Problem identified: only 18.4% tested. Decision: audit and pilot consistent testing.</w:t>
      </w:r>
    </w:p>
    <w:p w14:paraId="1F25F12D" w14:textId="77777777" w:rsidR="00AE3A21" w:rsidRDefault="00A14DFC">
      <w:pPr>
        <w:keepNext/>
        <w:jc w:val="center"/>
      </w:pPr>
      <w:r>
        <w:rPr>
          <w:noProof/>
        </w:rPr>
        <w:drawing>
          <wp:inline distT="0" distB="0" distL="0" distR="0" wp14:anchorId="24BAFD39" wp14:editId="349135F2">
            <wp:extent cx="5040000" cy="21511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utilisation_by_diagno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0831" w14:textId="6DB661C3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9</w:t>
      </w:r>
      <w:r>
        <w:fldChar w:fldCharType="end"/>
      </w:r>
      <w:r>
        <w:t>. Bed-day consumption by diagnosis</w:t>
      </w:r>
    </w:p>
    <w:p w14:paraId="1C210629" w14:textId="77777777" w:rsidR="00AE3A21" w:rsidRDefault="00A14DFC">
      <w:r>
        <w:rPr>
          <w:b/>
        </w:rPr>
        <w:t xml:space="preserve">Interpretation. </w:t>
      </w:r>
      <w:r>
        <w:t>Supports capacity planning: circulatory conditions use the most bed-days.</w:t>
      </w:r>
    </w:p>
    <w:p w14:paraId="39F61BE0" w14:textId="77777777" w:rsidR="00AE3A21" w:rsidRDefault="00A14D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CF4E45" wp14:editId="48FA803D">
            <wp:extent cx="5040000" cy="34221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7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711" w14:textId="26214117" w:rsidR="00AE3A21" w:rsidRDefault="00A14DFC">
      <w:pPr>
        <w:pStyle w:val="Caption"/>
      </w:pPr>
      <w:r>
        <w:rPr>
          <w:b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204F3">
        <w:rPr>
          <w:noProof/>
        </w:rPr>
        <w:t>10</w:t>
      </w:r>
      <w:r>
        <w:fldChar w:fldCharType="end"/>
      </w:r>
      <w:r>
        <w:t>. What the risk model relies on</w:t>
      </w:r>
    </w:p>
    <w:p w14:paraId="37856716" w14:textId="77777777" w:rsidR="00AE3A21" w:rsidRDefault="00A14DFC">
      <w:r>
        <w:rPr>
          <w:b/>
        </w:rPr>
        <w:t xml:space="preserve">Interpretation. </w:t>
      </w:r>
      <w:r>
        <w:t>Builds trust: clinicians can see the model uses clinically sensible signals.</w:t>
      </w:r>
    </w:p>
    <w:p w14:paraId="13D07DA7" w14:textId="77777777" w:rsidR="00AE3A21" w:rsidRDefault="00A14DFC">
      <w:r>
        <w:br w:type="page"/>
      </w:r>
    </w:p>
    <w:p w14:paraId="40712E29" w14:textId="77777777" w:rsidR="00AE3A21" w:rsidRDefault="00A14DFC">
      <w:pPr>
        <w:pStyle w:val="Heading1"/>
      </w:pPr>
      <w:bookmarkStart w:id="9" w:name="_Toc243759662"/>
      <w:r>
        <w:lastRenderedPageBreak/>
        <w:t>8. Communicating with Non-Technical Stakeholders</w:t>
      </w:r>
      <w:bookmarkEnd w:id="9"/>
    </w:p>
    <w:p w14:paraId="5104A11A" w14:textId="77777777" w:rsidR="00AE3A21" w:rsidRDefault="00A14DFC">
      <w:pPr>
        <w:pStyle w:val="ListBullet"/>
      </w:pPr>
      <w:r>
        <w:rPr>
          <w:b/>
        </w:rPr>
        <w:t xml:space="preserve">Lead with the answer: </w:t>
      </w:r>
      <w:r>
        <w:t>a headline sentence before any chart (e.g. 'One in eleven patients returns within 30 days').</w:t>
      </w:r>
    </w:p>
    <w:p w14:paraId="39A543DA" w14:textId="77777777" w:rsidR="00AE3A21" w:rsidRDefault="00A14DFC">
      <w:pPr>
        <w:pStyle w:val="ListBullet"/>
      </w:pPr>
      <w:r>
        <w:rPr>
          <w:b/>
        </w:rPr>
        <w:t xml:space="preserve">Use a story arc: </w:t>
      </w:r>
      <w:r>
        <w:t>context → problem → evidence → recommended action → expected benefit (Knaflic, 2015).</w:t>
      </w:r>
    </w:p>
    <w:p w14:paraId="1428E122" w14:textId="77777777" w:rsidR="00AE3A21" w:rsidRDefault="00A14DFC">
      <w:pPr>
        <w:pStyle w:val="ListBullet"/>
      </w:pPr>
      <w:r>
        <w:rPr>
          <w:b/>
        </w:rPr>
        <w:t xml:space="preserve">Translate statistics: </w:t>
      </w:r>
      <w:r>
        <w:t>'about twice the risk' rather than 'RR 2.03 (95% CI 1.93–2.13)'; keep exact numbers in the appendix.</w:t>
      </w:r>
    </w:p>
    <w:p w14:paraId="7F518E25" w14:textId="77777777" w:rsidR="00AE3A21" w:rsidRDefault="00A14DFC">
      <w:pPr>
        <w:pStyle w:val="ListBullet"/>
      </w:pPr>
      <w:r>
        <w:rPr>
          <w:b/>
        </w:rPr>
        <w:t xml:space="preserve">Show uncertainty simply: </w:t>
      </w:r>
      <w:r>
        <w:t>error bars plus a sentence such as 'the true value is very likely between x and y'.</w:t>
      </w:r>
    </w:p>
    <w:p w14:paraId="76C71581" w14:textId="77777777" w:rsidR="00AE3A21" w:rsidRDefault="00A14DFC">
      <w:pPr>
        <w:pStyle w:val="ListBullet"/>
      </w:pPr>
      <w:r>
        <w:rPr>
          <w:b/>
        </w:rPr>
        <w:t xml:space="preserve">Be explicit about limits: </w:t>
      </w:r>
      <w:r>
        <w:t>associations, not causes; old data; model not for individual decisions.</w:t>
      </w:r>
    </w:p>
    <w:p w14:paraId="4E90DDA3" w14:textId="77777777" w:rsidR="00AE3A21" w:rsidRDefault="00A14DFC">
      <w:pPr>
        <w:pStyle w:val="ListBullet"/>
      </w:pPr>
      <w:r>
        <w:rPr>
          <w:b/>
        </w:rPr>
        <w:t xml:space="preserve">Close the loop: </w:t>
      </w:r>
      <w:r>
        <w:t>every dashboard page names an owner and an action.</w:t>
      </w:r>
    </w:p>
    <w:p w14:paraId="2693A616" w14:textId="13986DC3" w:rsidR="00AE3A21" w:rsidRDefault="00A14DFC">
      <w:pPr>
        <w:pStyle w:val="Caption"/>
        <w:keepNext/>
      </w:pPr>
      <w:r>
        <w:rPr>
          <w:b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204F3">
        <w:rPr>
          <w:noProof/>
        </w:rPr>
        <w:t>5</w:t>
      </w:r>
      <w:r>
        <w:fldChar w:fldCharType="end"/>
      </w:r>
      <w:r>
        <w:t>. Communication products</w:t>
      </w:r>
    </w:p>
    <w:tbl>
      <w:tblPr>
        <w:tblStyle w:val="TableGrid"/>
        <w:tblW w:w="0" w:type="auto"/>
        <w:jc w:val="center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4309"/>
        <w:gridCol w:w="2268"/>
      </w:tblGrid>
      <w:tr w:rsidR="00AE3A21" w14:paraId="7339E2C2" w14:textId="77777777">
        <w:trPr>
          <w:tblHeader/>
          <w:jc w:val="center"/>
        </w:trPr>
        <w:tc>
          <w:tcPr>
            <w:tcW w:w="2835" w:type="dxa"/>
            <w:shd w:val="clear" w:color="auto" w:fill="1C5CAB"/>
          </w:tcPr>
          <w:p w14:paraId="095754BD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Product</w:t>
            </w:r>
          </w:p>
        </w:tc>
        <w:tc>
          <w:tcPr>
            <w:tcW w:w="4309" w:type="dxa"/>
            <w:shd w:val="clear" w:color="auto" w:fill="1C5CAB"/>
          </w:tcPr>
          <w:p w14:paraId="765A99B8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w="2268" w:type="dxa"/>
            <w:shd w:val="clear" w:color="auto" w:fill="1C5CAB"/>
          </w:tcPr>
          <w:p w14:paraId="0CC8177E" w14:textId="77777777" w:rsidR="00AE3A21" w:rsidRDefault="00A14DFC"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Cadence</w:t>
            </w:r>
          </w:p>
        </w:tc>
      </w:tr>
      <w:tr w:rsidR="00AE3A21" w14:paraId="5DC0984F" w14:textId="77777777">
        <w:trPr>
          <w:jc w:val="center"/>
        </w:trPr>
        <w:tc>
          <w:tcPr>
            <w:tcW w:w="2835" w:type="dxa"/>
          </w:tcPr>
          <w:p w14:paraId="0EBD3034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Executive brief</w:t>
            </w:r>
          </w:p>
        </w:tc>
        <w:tc>
          <w:tcPr>
            <w:tcW w:w="4309" w:type="dxa"/>
          </w:tcPr>
          <w:p w14:paraId="0AEEFAF5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One page + dashboard link</w:t>
            </w:r>
          </w:p>
        </w:tc>
        <w:tc>
          <w:tcPr>
            <w:tcW w:w="2268" w:type="dxa"/>
          </w:tcPr>
          <w:p w14:paraId="0D1E4819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Monthly</w:t>
            </w:r>
          </w:p>
        </w:tc>
      </w:tr>
      <w:tr w:rsidR="00AE3A21" w14:paraId="6348C95F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409FF580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Quality committee pack</w:t>
            </w:r>
          </w:p>
        </w:tc>
        <w:tc>
          <w:tcPr>
            <w:tcW w:w="4309" w:type="dxa"/>
            <w:shd w:val="clear" w:color="auto" w:fill="F2F6FB"/>
          </w:tcPr>
          <w:p w14:paraId="539A116E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Report + live dashboard walk-through</w:t>
            </w:r>
          </w:p>
        </w:tc>
        <w:tc>
          <w:tcPr>
            <w:tcW w:w="2268" w:type="dxa"/>
            <w:shd w:val="clear" w:color="auto" w:fill="F2F6FB"/>
          </w:tcPr>
          <w:p w14:paraId="589B924F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Quarterly</w:t>
            </w:r>
          </w:p>
        </w:tc>
      </w:tr>
      <w:tr w:rsidR="00AE3A21" w14:paraId="186B924C" w14:textId="77777777">
        <w:trPr>
          <w:jc w:val="center"/>
        </w:trPr>
        <w:tc>
          <w:tcPr>
            <w:tcW w:w="2835" w:type="dxa"/>
          </w:tcPr>
          <w:p w14:paraId="7A623832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Ward huddle</w:t>
            </w:r>
          </w:p>
        </w:tc>
        <w:tc>
          <w:tcPr>
            <w:tcW w:w="4309" w:type="dxa"/>
          </w:tcPr>
          <w:p w14:paraId="2512CB94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Worklist + 3 key messages</w:t>
            </w:r>
          </w:p>
        </w:tc>
        <w:tc>
          <w:tcPr>
            <w:tcW w:w="2268" w:type="dxa"/>
          </w:tcPr>
          <w:p w14:paraId="5D18B884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Weekly</w:t>
            </w:r>
          </w:p>
        </w:tc>
      </w:tr>
      <w:tr w:rsidR="00AE3A21" w14:paraId="6C668416" w14:textId="77777777">
        <w:trPr>
          <w:jc w:val="center"/>
        </w:trPr>
        <w:tc>
          <w:tcPr>
            <w:tcW w:w="2835" w:type="dxa"/>
            <w:shd w:val="clear" w:color="auto" w:fill="F2F6FB"/>
          </w:tcPr>
          <w:p w14:paraId="71D82820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Patient advisory group</w:t>
            </w:r>
          </w:p>
        </w:tc>
        <w:tc>
          <w:tcPr>
            <w:tcW w:w="4309" w:type="dxa"/>
            <w:shd w:val="clear" w:color="auto" w:fill="F2F6FB"/>
          </w:tcPr>
          <w:p w14:paraId="0C884E83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Plain-language summary</w:t>
            </w:r>
          </w:p>
        </w:tc>
        <w:tc>
          <w:tcPr>
            <w:tcW w:w="2268" w:type="dxa"/>
            <w:shd w:val="clear" w:color="auto" w:fill="F2F6FB"/>
          </w:tcPr>
          <w:p w14:paraId="6438A6DE" w14:textId="77777777" w:rsidR="00AE3A21" w:rsidRDefault="00A14DFC">
            <w:pPr>
              <w:spacing w:after="0" w:line="240" w:lineRule="auto"/>
            </w:pPr>
            <w:r>
              <w:rPr>
                <w:sz w:val="17"/>
              </w:rPr>
              <w:t>Twice yearly</w:t>
            </w:r>
          </w:p>
        </w:tc>
      </w:tr>
    </w:tbl>
    <w:p w14:paraId="33E64058" w14:textId="77777777" w:rsidR="00AE3A21" w:rsidRDefault="00AE3A21">
      <w:pPr>
        <w:spacing w:after="40"/>
      </w:pPr>
    </w:p>
    <w:p w14:paraId="233F4FA7" w14:textId="77777777" w:rsidR="00AE3A21" w:rsidRDefault="00A14DFC">
      <w:pPr>
        <w:pStyle w:val="Heading1"/>
      </w:pPr>
      <w:bookmarkStart w:id="10" w:name="_Toc243759663"/>
      <w:r>
        <w:t>9. Evaluating the Visualisations</w:t>
      </w:r>
      <w:bookmarkEnd w:id="10"/>
    </w:p>
    <w:p w14:paraId="4EDF91C8" w14:textId="77777777" w:rsidR="00AE3A21" w:rsidRDefault="00A14DFC">
      <w:pPr>
        <w:pStyle w:val="ListBullet"/>
      </w:pPr>
      <w:r>
        <w:t>Usability test with one user per persona: can they state the main finding in 30 seconds?</w:t>
      </w:r>
    </w:p>
    <w:p w14:paraId="71E896DF" w14:textId="77777777" w:rsidR="00AE3A21" w:rsidRDefault="00A14DFC">
      <w:pPr>
        <w:pStyle w:val="ListBullet"/>
      </w:pPr>
      <w:r>
        <w:t>Accuracy check: every displayed number reconciles with the analysis tables.</w:t>
      </w:r>
    </w:p>
    <w:p w14:paraId="02F0D477" w14:textId="77777777" w:rsidR="00AE3A21" w:rsidRDefault="00A14DFC">
      <w:pPr>
        <w:pStyle w:val="ListBullet"/>
      </w:pPr>
      <w:r>
        <w:t>Accessibility check: contrast, keyboard use, screen-reader labels, colour-blind simulation.</w:t>
      </w:r>
    </w:p>
    <w:p w14:paraId="6C1378A0" w14:textId="77777777" w:rsidR="00AE3A21" w:rsidRDefault="00A14DFC">
      <w:pPr>
        <w:pStyle w:val="ListBullet"/>
      </w:pPr>
      <w:r>
        <w:t>Adoption metrics: dashboard visits, actions logged from the worklist, feedback scores.</w:t>
      </w:r>
    </w:p>
    <w:p w14:paraId="42077016" w14:textId="77777777" w:rsidR="00AE3A21" w:rsidRDefault="00A14DFC">
      <w:r>
        <w:br w:type="page"/>
      </w:r>
    </w:p>
    <w:p w14:paraId="3263E45E" w14:textId="77777777" w:rsidR="00AE3A21" w:rsidRDefault="00A14DFC">
      <w:pPr>
        <w:pStyle w:val="Heading1"/>
      </w:pPr>
      <w:bookmarkStart w:id="11" w:name="_Toc243759664"/>
      <w:r>
        <w:lastRenderedPageBreak/>
        <w:t>References</w:t>
      </w:r>
      <w:bookmarkEnd w:id="11"/>
    </w:p>
    <w:p w14:paraId="3D3CC4F6" w14:textId="77777777" w:rsidR="00AE3A21" w:rsidRDefault="00A14DFC">
      <w:pPr>
        <w:ind w:left="480" w:hanging="480"/>
      </w:pPr>
      <w:r>
        <w:rPr>
          <w:sz w:val="19"/>
        </w:rPr>
        <w:t>Cleveland, W. S., &amp; McGill, R. (1984). Graphical perception: Theory, experimentation, and application to the development of graphical methods. Journal of the American Statistical Association, 79(387), 531–554. https://doi.org/10.1080/01621459.1984.10478080</w:t>
      </w:r>
    </w:p>
    <w:p w14:paraId="5F5CF0E6" w14:textId="77777777" w:rsidR="00AE3A21" w:rsidRDefault="00A14DFC">
      <w:pPr>
        <w:ind w:left="480" w:hanging="480"/>
      </w:pPr>
      <w:r>
        <w:rPr>
          <w:sz w:val="19"/>
        </w:rPr>
        <w:t>Clore, J., Cios, K., DeShazo, J., &amp; Strack, B. (2014). Diabetes 130-US hospitals for years 1999–2008 [Data set]. UCI Machine Learning Repository. https://doi.org/10.24432/C5230J</w:t>
      </w:r>
    </w:p>
    <w:p w14:paraId="0B92981A" w14:textId="77777777" w:rsidR="00AE3A21" w:rsidRDefault="00A14DFC">
      <w:pPr>
        <w:ind w:left="480" w:hanging="480"/>
      </w:pPr>
      <w:r>
        <w:rPr>
          <w:sz w:val="19"/>
        </w:rPr>
        <w:t>Knaflic, C. N. (2015). Storytelling with data: A data visualization guide for business professionals. Wiley.</w:t>
      </w:r>
    </w:p>
    <w:p w14:paraId="11E1CA2E" w14:textId="77777777" w:rsidR="00AE3A21" w:rsidRDefault="00A14DFC">
      <w:pPr>
        <w:ind w:left="480" w:hanging="480"/>
      </w:pPr>
      <w:r>
        <w:rPr>
          <w:sz w:val="19"/>
        </w:rPr>
        <w:t>Strack, B., DeShazo, J. P., Gennings, C., Olmo, J. L., Ventura, S., Cios, K. J., &amp; Clore, J. N. (2014). Impact of HbA1c measurement on hospital readmission rates: Analysis of 70,000 clinical database patient records. BioMed Research International, 2014, 781670. https://doi.org/10.1155/2014/781670</w:t>
      </w:r>
    </w:p>
    <w:p w14:paraId="1E160B0C" w14:textId="77777777" w:rsidR="00AE3A21" w:rsidRDefault="00A14DFC">
      <w:pPr>
        <w:ind w:left="480" w:hanging="480"/>
      </w:pPr>
      <w:r>
        <w:rPr>
          <w:sz w:val="19"/>
        </w:rPr>
        <w:t>Tufte, E. R. (2001). The visual display of quantitative information (2nd ed.). Graphics Press.</w:t>
      </w:r>
    </w:p>
    <w:p w14:paraId="4EB29803" w14:textId="77777777" w:rsidR="00AE3A21" w:rsidRDefault="00A14DFC">
      <w:pPr>
        <w:ind w:left="480" w:hanging="480"/>
      </w:pPr>
      <w:r>
        <w:rPr>
          <w:sz w:val="19"/>
        </w:rPr>
        <w:t>Wilson, E. B. (1927). Probable inference, the law of succession, and statistical inference. Journal of the American Statistical Association, 22(158), 209–212. https://doi.org/10.1080/01621459.1927.10502953</w:t>
      </w:r>
    </w:p>
    <w:p w14:paraId="347E7DF6" w14:textId="77777777" w:rsidR="00AE3A21" w:rsidRDefault="00A14DFC">
      <w:pPr>
        <w:ind w:left="480" w:hanging="480"/>
      </w:pPr>
      <w:r>
        <w:rPr>
          <w:sz w:val="19"/>
        </w:rPr>
        <w:t>World Wide Web Consortium. (2023). Web Content Accessibility Guidelines (WCAG) 2.2 (W3C Recommendation). https://www.w3.org/TR/WCAG22/</w:t>
      </w:r>
    </w:p>
    <w:sectPr w:rsidR="00AE3A21" w:rsidSect="00034616">
      <w:headerReference w:type="default" r:id="rId18"/>
      <w:footerReference w:type="default" r:id="rId19"/>
      <w:pgSz w:w="11906" w:h="16838"/>
      <w:pgMar w:top="1247" w:right="1247" w:bottom="1247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6DE7" w14:textId="77777777" w:rsidR="00A14DFC" w:rsidRDefault="00A14DFC">
      <w:pPr>
        <w:spacing w:after="0" w:line="240" w:lineRule="auto"/>
      </w:pPr>
      <w:r>
        <w:separator/>
      </w:r>
    </w:p>
  </w:endnote>
  <w:endnote w:type="continuationSeparator" w:id="0">
    <w:p w14:paraId="1B054FC2" w14:textId="77777777" w:rsidR="00A14DFC" w:rsidRDefault="00A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9CF99" w14:textId="77777777" w:rsidR="00AE3A21" w:rsidRDefault="00A14DFC"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71DA" w14:textId="77777777" w:rsidR="00A14DFC" w:rsidRDefault="00A14DFC">
      <w:pPr>
        <w:spacing w:after="0" w:line="240" w:lineRule="auto"/>
      </w:pPr>
      <w:r>
        <w:separator/>
      </w:r>
    </w:p>
  </w:footnote>
  <w:footnote w:type="continuationSeparator" w:id="0">
    <w:p w14:paraId="2D4CBDAE" w14:textId="77777777" w:rsidR="00A14DFC" w:rsidRDefault="00A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DA699" w14:textId="77777777" w:rsidR="00AE3A21" w:rsidRDefault="00A14DFC">
    <w:pPr>
      <w:pStyle w:val="Header"/>
      <w:jc w:val="right"/>
    </w:pPr>
    <w:r>
      <w:rPr>
        <w:color w:val="595959"/>
        <w:sz w:val="16"/>
      </w:rPr>
      <w:t>Week 3 · Data Visualisation and Insights Communication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325924">
    <w:abstractNumId w:val="8"/>
  </w:num>
  <w:num w:numId="2" w16cid:durableId="1188985826">
    <w:abstractNumId w:val="6"/>
  </w:num>
  <w:num w:numId="3" w16cid:durableId="764764848">
    <w:abstractNumId w:val="5"/>
  </w:num>
  <w:num w:numId="4" w16cid:durableId="1298608578">
    <w:abstractNumId w:val="4"/>
  </w:num>
  <w:num w:numId="5" w16cid:durableId="765810848">
    <w:abstractNumId w:val="7"/>
  </w:num>
  <w:num w:numId="6" w16cid:durableId="723796126">
    <w:abstractNumId w:val="3"/>
  </w:num>
  <w:num w:numId="7" w16cid:durableId="1966109956">
    <w:abstractNumId w:val="2"/>
  </w:num>
  <w:num w:numId="8" w16cid:durableId="2101218850">
    <w:abstractNumId w:val="1"/>
  </w:num>
  <w:num w:numId="9" w16cid:durableId="63845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D62"/>
    <w:rsid w:val="00A14DFC"/>
    <w:rsid w:val="00AA1D8D"/>
    <w:rsid w:val="00AE3A21"/>
    <w:rsid w:val="00B47730"/>
    <w:rsid w:val="00CB0664"/>
    <w:rsid w:val="00E204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3C073"/>
  <w14:defaultImageDpi w14:val="300"/>
  <w15:docId w15:val="{F618EA2F-5006-4900-91E1-F8818511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b/>
      <w:bCs/>
      <w:color w:val="1C5CA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color w:val="1C5C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40" w:lineRule="auto"/>
    </w:pPr>
    <w:rPr>
      <w:bCs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204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4F3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E204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1460</Words>
  <Characters>8937</Characters>
  <Application>Microsoft Office Word</Application>
  <DocSecurity>0</DocSecurity>
  <Lines>289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Healthcare Data Analytics</dc:title>
  <dc:subject>Diabetic inpatient 30-day readmission analysis</dc:subject>
  <dc:creator>python-docx</dc:creator>
  <cp:keywords/>
  <dc:description>generated by python-docx</dc:description>
  <cp:lastModifiedBy>Akshay Juluru</cp:lastModifiedBy>
  <cp:revision>2</cp:revision>
  <dcterms:created xsi:type="dcterms:W3CDTF">2013-12-23T23:15:00Z</dcterms:created>
  <dcterms:modified xsi:type="dcterms:W3CDTF">2026-10-24T13:10:00Z</dcterms:modified>
  <cp:category/>
</cp:coreProperties>
</file>