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20" w:after="0"/>
        <w:ind w:hanging="0" w:left="0"/>
        <w:rPr/>
      </w:pPr>
      <w:r>
        <w:rPr>
          <w:rFonts w:cs="Calibri" w:ascii="Calibri" w:hAnsi="Calibri"/>
          <w:sz w:val="28"/>
          <w:szCs w:val="28"/>
        </w:rPr>
        <w:t xml:space="preserve">Inventory Alternate Parts and Comments Screen: </w:t>
      </w:r>
      <w:r>
        <w:rPr>
          <w:rFonts w:cs="Calibri" w:ascii="Calibri" w:hAnsi="Calibri"/>
          <w:b w:val="false"/>
          <w:sz w:val="22"/>
          <w:szCs w:val="22"/>
        </w:rPr>
        <w:t>This file pulls data from the Alternate Part Numbers and Comments sections of the Parts Master.</w:t>
      </w:r>
    </w:p>
    <w:p>
      <w:pPr>
        <w:pStyle w:val="BodyText"/>
        <w:rPr>
          <w:rFonts w:ascii="Calibri" w:hAnsi="Calibri" w:cs="Calibri"/>
          <w:b/>
          <w:sz w:val="22"/>
          <w:szCs w:val="22"/>
        </w:rPr>
      </w:pPr>
      <w:r>
        <w:rPr>
          <w:rFonts w:cs="Calibri" w:ascii="Calibri" w:hAnsi="Calibri"/>
          <w:b/>
          <w:sz w:val="22"/>
          <w:szCs w:val="22"/>
        </w:rPr>
      </w:r>
    </w:p>
    <w:p>
      <w:pPr>
        <w:pStyle w:val="Heading3"/>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4057650" cy="2943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12" r="-9" b="-12"/>
                    <a:stretch>
                      <a:fillRect/>
                    </a:stretch>
                  </pic:blipFill>
                  <pic:spPr bwMode="auto">
                    <a:xfrm>
                      <a:off x="0" y="0"/>
                      <a:ext cx="4057650" cy="2943225"/>
                    </a:xfrm>
                    <a:prstGeom prst="rect">
                      <a:avLst/>
                    </a:prstGeom>
                    <a:noFill/>
                  </pic:spPr>
                </pic:pic>
              </a:graphicData>
            </a:graphic>
          </wp:inline>
        </w:drawing>
      </w:r>
    </w:p>
    <w:p>
      <w:pPr>
        <w:pStyle w:val="BodyText"/>
        <w:rPr>
          <w:rFonts w:ascii="Calibri" w:hAnsi="Calibri" w:cs="Calibri"/>
          <w:b/>
          <w:sz w:val="22"/>
          <w:szCs w:val="22"/>
        </w:rPr>
      </w:pPr>
      <w:r>
        <w:rPr>
          <w:rFonts w:cs="Calibri" w:ascii="Calibri" w:hAnsi="Calibri"/>
          <w:b/>
          <w:sz w:val="22"/>
          <w:szCs w:val="22"/>
        </w:rPr>
      </w:r>
    </w:p>
    <w:p>
      <w:pPr>
        <w:pStyle w:val="Heading3"/>
        <w:numPr>
          <w:ilvl w:val="0"/>
          <w:numId w:val="3"/>
        </w:numPr>
        <w:spacing w:before="120" w:after="0"/>
        <w:rPr>
          <w:rFonts w:ascii="Calibri" w:hAnsi="Calibri" w:cs="Calibri"/>
          <w:b w:val="false"/>
          <w:sz w:val="22"/>
          <w:szCs w:val="22"/>
        </w:rPr>
      </w:pPr>
      <w:r>
        <w:rPr>
          <w:rFonts w:cs="Calibri" w:ascii="Calibri" w:hAnsi="Calibri"/>
          <w:sz w:val="22"/>
          <w:szCs w:val="22"/>
        </w:rPr>
        <w:t xml:space="preserve">Part Number: </w:t>
      </w:r>
      <w:r>
        <w:rPr>
          <w:rFonts w:cs="Calibri" w:ascii="Calibri" w:hAnsi="Calibri"/>
          <w:b w:val="false"/>
          <w:sz w:val="22"/>
          <w:szCs w:val="22"/>
        </w:rPr>
        <w:t xml:space="preserve">The 20-digit alpha-numeric Part Number field holds the complete part number.   </w:t>
      </w:r>
    </w:p>
    <w:p>
      <w:pPr>
        <w:pStyle w:val="Heading3"/>
        <w:numPr>
          <w:ilvl w:val="0"/>
          <w:numId w:val="3"/>
        </w:numPr>
        <w:spacing w:before="120" w:after="0"/>
        <w:rPr>
          <w:rFonts w:ascii="Calibri" w:hAnsi="Calibri" w:cs="Calibri"/>
          <w:sz w:val="22"/>
          <w:szCs w:val="22"/>
        </w:rPr>
      </w:pPr>
      <w:r>
        <w:rPr>
          <w:rFonts w:cs="Calibri" w:ascii="Calibri" w:hAnsi="Calibri"/>
          <w:sz w:val="22"/>
          <w:szCs w:val="22"/>
        </w:rPr>
        <w:t xml:space="preserve">Vendor: </w:t>
      </w:r>
      <w:r>
        <w:rPr>
          <w:rFonts w:cs="Calibri" w:ascii="Calibri" w:hAnsi="Calibri"/>
          <w:b w:val="false"/>
          <w:sz w:val="22"/>
          <w:szCs w:val="22"/>
        </w:rPr>
        <w:t>This three-digit number identifies the manufacturer of the part number.</w:t>
      </w:r>
      <w:r>
        <w:rPr>
          <w:rFonts w:cs="Calibri" w:ascii="Calibri" w:hAnsi="Calibri"/>
          <w:sz w:val="22"/>
          <w:szCs w:val="22"/>
        </w:rPr>
        <w:t xml:space="preserve">  </w:t>
      </w:r>
    </w:p>
    <w:p>
      <w:pPr>
        <w:pStyle w:val="Heading3"/>
        <w:numPr>
          <w:ilvl w:val="0"/>
          <w:numId w:val="3"/>
        </w:numPr>
        <w:spacing w:before="120" w:after="0"/>
        <w:rPr>
          <w:rFonts w:ascii="Calibri" w:hAnsi="Calibri" w:cs="Calibri"/>
          <w:b w:val="false"/>
          <w:sz w:val="22"/>
          <w:szCs w:val="22"/>
        </w:rPr>
      </w:pPr>
      <w:r>
        <w:rPr>
          <w:rFonts w:cs="Calibri" w:ascii="Calibri" w:hAnsi="Calibri"/>
          <w:sz w:val="22"/>
          <w:szCs w:val="22"/>
        </w:rPr>
        <w:t xml:space="preserve">Part Type: </w:t>
      </w:r>
      <w:r>
        <w:rPr>
          <w:rFonts w:cs="Calibri" w:ascii="Calibri" w:hAnsi="Calibri"/>
          <w:b w:val="false"/>
          <w:sz w:val="22"/>
          <w:szCs w:val="22"/>
        </w:rPr>
        <w:t>The type code identifies what the part is.  It can be:</w:t>
      </w:r>
    </w:p>
    <w:p>
      <w:pPr>
        <w:pStyle w:val="Heading3"/>
        <w:numPr>
          <w:ilvl w:val="1"/>
          <w:numId w:val="3"/>
        </w:numPr>
        <w:spacing w:before="120" w:after="0"/>
        <w:rPr>
          <w:rFonts w:ascii="Calibri" w:hAnsi="Calibri" w:cs="Calibri"/>
          <w:b w:val="false"/>
          <w:sz w:val="22"/>
          <w:szCs w:val="22"/>
        </w:rPr>
      </w:pPr>
      <w:r>
        <w:rPr>
          <w:rFonts w:cs="Calibri" w:ascii="Calibri" w:hAnsi="Calibri"/>
          <w:b w:val="false"/>
          <w:sz w:val="22"/>
          <w:szCs w:val="22"/>
        </w:rPr>
        <w:t>N= New</w:t>
      </w:r>
    </w:p>
    <w:p>
      <w:pPr>
        <w:pStyle w:val="Heading3"/>
        <w:numPr>
          <w:ilvl w:val="1"/>
          <w:numId w:val="3"/>
        </w:numPr>
        <w:spacing w:before="120" w:after="0"/>
        <w:rPr>
          <w:rFonts w:ascii="Calibri" w:hAnsi="Calibri" w:cs="Calibri"/>
          <w:b w:val="false"/>
          <w:sz w:val="22"/>
          <w:szCs w:val="22"/>
        </w:rPr>
      </w:pPr>
      <w:r>
        <w:rPr>
          <w:rFonts w:cs="Calibri" w:ascii="Calibri" w:hAnsi="Calibri"/>
          <w:b w:val="false"/>
          <w:sz w:val="22"/>
          <w:szCs w:val="22"/>
        </w:rPr>
        <w:t>R= Rebuilt or Remanufactured</w:t>
      </w:r>
    </w:p>
    <w:p>
      <w:pPr>
        <w:pStyle w:val="Heading3"/>
        <w:numPr>
          <w:ilvl w:val="1"/>
          <w:numId w:val="3"/>
        </w:numPr>
        <w:spacing w:before="120" w:after="0"/>
        <w:rPr>
          <w:rFonts w:ascii="Calibri" w:hAnsi="Calibri" w:cs="Calibri"/>
          <w:b w:val="false"/>
          <w:sz w:val="22"/>
          <w:szCs w:val="22"/>
        </w:rPr>
      </w:pPr>
      <w:r>
        <w:rPr>
          <w:rFonts w:cs="Calibri" w:ascii="Calibri" w:hAnsi="Calibri"/>
          <w:b w:val="false"/>
          <w:sz w:val="22"/>
          <w:szCs w:val="22"/>
        </w:rPr>
        <w:t>C=Core</w:t>
      </w:r>
    </w:p>
    <w:p>
      <w:pPr>
        <w:pStyle w:val="Heading3"/>
        <w:numPr>
          <w:ilvl w:val="1"/>
          <w:numId w:val="3"/>
        </w:numPr>
        <w:spacing w:before="120" w:after="0"/>
        <w:rPr>
          <w:rFonts w:ascii="Calibri" w:hAnsi="Calibri" w:cs="Calibri"/>
          <w:b w:val="false"/>
          <w:sz w:val="22"/>
          <w:szCs w:val="22"/>
        </w:rPr>
      </w:pPr>
      <w:r>
        <w:rPr>
          <w:rFonts w:cs="Calibri" w:ascii="Calibri" w:hAnsi="Calibri"/>
          <w:b w:val="false"/>
          <w:sz w:val="22"/>
          <w:szCs w:val="22"/>
        </w:rPr>
        <w:t>U=Used</w:t>
      </w:r>
    </w:p>
    <w:p>
      <w:pPr>
        <w:pStyle w:val="Heading3"/>
        <w:numPr>
          <w:ilvl w:val="1"/>
          <w:numId w:val="3"/>
        </w:numPr>
        <w:spacing w:before="120" w:after="0"/>
        <w:rPr>
          <w:rFonts w:ascii="Calibri" w:hAnsi="Calibri" w:cs="Calibri"/>
          <w:b w:val="false"/>
          <w:sz w:val="22"/>
          <w:szCs w:val="22"/>
        </w:rPr>
      </w:pPr>
      <w:r>
        <w:rPr>
          <w:rFonts w:cs="Calibri" w:ascii="Calibri" w:hAnsi="Calibri"/>
          <w:b w:val="false"/>
          <w:sz w:val="22"/>
          <w:szCs w:val="22"/>
        </w:rPr>
        <w:t>M=Memo.</w:t>
      </w:r>
    </w:p>
    <w:p>
      <w:pPr>
        <w:pStyle w:val="Heading3"/>
        <w:numPr>
          <w:ilvl w:val="0"/>
          <w:numId w:val="3"/>
        </w:numPr>
        <w:spacing w:before="120" w:after="0"/>
        <w:rPr>
          <w:rFonts w:ascii="Calibri" w:hAnsi="Calibri" w:cs="Calibri"/>
          <w:sz w:val="22"/>
          <w:szCs w:val="22"/>
        </w:rPr>
      </w:pPr>
      <w:r>
        <w:rPr>
          <w:rFonts w:cs="Calibri" w:ascii="Calibri" w:hAnsi="Calibri"/>
          <w:sz w:val="22"/>
          <w:szCs w:val="22"/>
        </w:rPr>
        <w:t xml:space="preserve">Manufact ID: </w:t>
      </w:r>
      <w:r>
        <w:rPr>
          <w:rFonts w:cs="Calibri" w:ascii="Calibri" w:hAnsi="Calibri"/>
          <w:b w:val="false"/>
          <w:sz w:val="22"/>
          <w:szCs w:val="22"/>
        </w:rPr>
        <w:t>The manufacturer ID is provided from certain manufacturer price files.</w:t>
      </w:r>
      <w:r>
        <w:rPr>
          <w:rFonts w:cs="Calibri" w:ascii="Calibri" w:hAnsi="Calibri"/>
          <w:sz w:val="22"/>
          <w:szCs w:val="22"/>
        </w:rPr>
        <w:t xml:space="preserve">   </w:t>
      </w:r>
    </w:p>
    <w:p>
      <w:pPr>
        <w:pStyle w:val="Heading3"/>
        <w:numPr>
          <w:ilvl w:val="0"/>
          <w:numId w:val="3"/>
        </w:numPr>
        <w:spacing w:before="120" w:after="0"/>
        <w:rPr>
          <w:rFonts w:ascii="Calibri" w:hAnsi="Calibri" w:cs="Calibri"/>
          <w:b w:val="false"/>
          <w:sz w:val="22"/>
          <w:szCs w:val="22"/>
        </w:rPr>
      </w:pPr>
      <w:r>
        <w:rPr>
          <w:rFonts w:cs="Calibri" w:ascii="Calibri" w:hAnsi="Calibri"/>
          <w:sz w:val="22"/>
          <w:szCs w:val="22"/>
        </w:rPr>
        <w:t xml:space="preserve">Comment #1, Comment #2: </w:t>
      </w:r>
      <w:r>
        <w:rPr>
          <w:rFonts w:cs="Calibri" w:ascii="Calibri" w:hAnsi="Calibri"/>
          <w:b w:val="false"/>
          <w:sz w:val="22"/>
          <w:szCs w:val="22"/>
        </w:rPr>
        <w:t>These are two lines available for comments about this part.  They can be printed on POS Invoices and parts order printouts.</w:t>
      </w:r>
    </w:p>
    <w:p>
      <w:pPr>
        <w:pStyle w:val="Heading3"/>
        <w:keepNext w:val="false"/>
        <w:widowControl w:val="false"/>
        <w:spacing w:before="120" w:after="0"/>
        <w:ind w:hanging="0" w:left="0"/>
        <w:rPr>
          <w:rFonts w:ascii="Calibri" w:hAnsi="Calibri" w:cs="Calibri"/>
          <w:b w:val="false"/>
          <w:sz w:val="22"/>
          <w:szCs w:val="22"/>
        </w:rPr>
      </w:pPr>
      <w:r>
        <w:rPr>
          <w:rFonts w:cs="Calibri" w:ascii="Calibri" w:hAnsi="Calibri"/>
          <w:b w:val="false"/>
          <w:sz w:val="22"/>
          <w:szCs w:val="22"/>
        </w:rPr>
      </w:r>
    </w:p>
    <w:p>
      <w:pPr>
        <w:pStyle w:val="Heading3"/>
        <w:keepNext w:val="false"/>
        <w:widowControl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4067175" cy="29337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9" t="-12" r="-9" b="-12"/>
                    <a:stretch>
                      <a:fillRect/>
                    </a:stretch>
                  </pic:blipFill>
                  <pic:spPr bwMode="auto">
                    <a:xfrm>
                      <a:off x="0" y="0"/>
                      <a:ext cx="4067175" cy="2933700"/>
                    </a:xfrm>
                    <a:prstGeom prst="rect">
                      <a:avLst/>
                    </a:prstGeom>
                    <a:noFill/>
                  </pic:spPr>
                </pic:pic>
              </a:graphicData>
            </a:graphic>
          </wp:inline>
        </w:drawing>
      </w:r>
    </w:p>
    <w:p>
      <w:pPr>
        <w:pStyle w:val="BodyText"/>
        <w:rPr>
          <w:rFonts w:ascii="Calibri" w:hAnsi="Calibri" w:cs="Calibri"/>
          <w:b/>
          <w:sz w:val="22"/>
          <w:szCs w:val="22"/>
        </w:rPr>
      </w:pPr>
      <w:r>
        <w:rPr>
          <w:rFonts w:cs="Calibri" w:ascii="Calibri" w:hAnsi="Calibri"/>
          <w:b/>
          <w:sz w:val="22"/>
          <w:szCs w:val="22"/>
        </w:rPr>
      </w:r>
    </w:p>
    <w:p>
      <w:pPr>
        <w:pStyle w:val="Heading3"/>
        <w:keepNext w:val="false"/>
        <w:widowControl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Alt/Sub #1 – 6: </w:t>
      </w:r>
      <w:r>
        <w:rPr>
          <w:rFonts w:cs="Calibri" w:ascii="Calibri" w:hAnsi="Calibri"/>
          <w:b w:val="false"/>
          <w:sz w:val="22"/>
          <w:szCs w:val="22"/>
        </w:rPr>
        <w:t>This collection of up to six fields can hold information about alternate part numbers.  This information is dealer maintained and the part numbers referenced here do not have to be in your inventory.</w:t>
      </w:r>
    </w:p>
    <w:p>
      <w:pPr>
        <w:pStyle w:val="Heading3"/>
        <w:numPr>
          <w:ilvl w:val="0"/>
          <w:numId w:val="4"/>
        </w:numPr>
        <w:spacing w:before="120" w:after="0"/>
        <w:rPr>
          <w:rFonts w:ascii="Calibri" w:hAnsi="Calibri" w:cs="Calibri"/>
          <w:b w:val="false"/>
          <w:sz w:val="22"/>
          <w:szCs w:val="22"/>
        </w:rPr>
      </w:pPr>
      <w:r>
        <w:rPr>
          <w:rFonts w:cs="Calibri" w:ascii="Calibri" w:hAnsi="Calibri"/>
          <w:sz w:val="22"/>
          <w:szCs w:val="22"/>
        </w:rPr>
        <w:t xml:space="preserve">Vendor #1 – 6: </w:t>
      </w:r>
      <w:r>
        <w:rPr>
          <w:rFonts w:cs="Calibri" w:ascii="Calibri" w:hAnsi="Calibri"/>
          <w:b w:val="false"/>
          <w:sz w:val="22"/>
          <w:szCs w:val="22"/>
        </w:rPr>
        <w:t>This collection of up to six fields can hold the vendor number for alternate part numbers.</w:t>
      </w:r>
    </w:p>
    <w:p>
      <w:pPr>
        <w:pStyle w:val="Heading3"/>
        <w:numPr>
          <w:ilvl w:val="0"/>
          <w:numId w:val="4"/>
        </w:numPr>
        <w:spacing w:before="120" w:after="0"/>
        <w:rPr>
          <w:rFonts w:ascii="Calibri" w:hAnsi="Calibri" w:cs="Calibri"/>
          <w:b w:val="false"/>
          <w:sz w:val="22"/>
          <w:szCs w:val="22"/>
        </w:rPr>
      </w:pPr>
      <w:r>
        <w:rPr>
          <w:rFonts w:cs="Calibri" w:ascii="Calibri" w:hAnsi="Calibri"/>
          <w:sz w:val="22"/>
          <w:szCs w:val="22"/>
        </w:rPr>
        <w:t xml:space="preserve">Part Type #1 – 6: </w:t>
      </w:r>
      <w:r>
        <w:rPr>
          <w:rFonts w:cs="Calibri" w:ascii="Calibri" w:hAnsi="Calibri"/>
          <w:b w:val="false"/>
          <w:sz w:val="22"/>
          <w:szCs w:val="22"/>
        </w:rPr>
        <w:t>This collection of up to six fields can hold the part type for alternate part numbers.</w:t>
      </w:r>
    </w:p>
    <w:p>
      <w:pPr>
        <w:pStyle w:val="Heading3"/>
        <w:numPr>
          <w:ilvl w:val="0"/>
          <w:numId w:val="4"/>
        </w:numPr>
        <w:spacing w:before="120" w:after="0"/>
        <w:rPr>
          <w:rFonts w:ascii="Calibri" w:hAnsi="Calibri" w:cs="Calibri"/>
          <w:b w:val="false"/>
          <w:sz w:val="22"/>
          <w:szCs w:val="22"/>
        </w:rPr>
      </w:pPr>
      <w:r>
        <w:rPr>
          <w:rFonts w:cs="Calibri" w:ascii="Calibri" w:hAnsi="Calibri"/>
          <w:sz w:val="22"/>
          <w:szCs w:val="22"/>
        </w:rPr>
        <w:t xml:space="preserve">Manufacturer ID #1 – 6: </w:t>
      </w:r>
      <w:r>
        <w:rPr>
          <w:rFonts w:cs="Calibri" w:ascii="Calibri" w:hAnsi="Calibri"/>
          <w:b w:val="false"/>
          <w:sz w:val="22"/>
          <w:szCs w:val="22"/>
        </w:rPr>
        <w:t>This collection of up to six fields can hold the manufacturer ID for alternate part numbers.</w:t>
      </w:r>
    </w:p>
    <w:p>
      <w:pPr>
        <w:pStyle w:val="Heading3"/>
        <w:numPr>
          <w:ilvl w:val="0"/>
          <w:numId w:val="4"/>
        </w:numPr>
        <w:spacing w:before="120" w:after="0"/>
        <w:rPr>
          <w:rFonts w:ascii="Calibri" w:hAnsi="Calibri" w:cs="Calibri"/>
          <w:b w:val="false"/>
          <w:sz w:val="22"/>
          <w:szCs w:val="22"/>
        </w:rPr>
      </w:pPr>
      <w:r>
        <w:rPr>
          <w:rFonts w:cs="Calibri" w:ascii="Calibri" w:hAnsi="Calibri"/>
          <w:sz w:val="22"/>
          <w:szCs w:val="22"/>
        </w:rPr>
        <w:t xml:space="preserve">Alt Qty 1 -6: </w:t>
      </w:r>
      <w:r>
        <w:rPr>
          <w:rFonts w:cs="Calibri" w:ascii="Calibri" w:hAnsi="Calibri"/>
          <w:b w:val="false"/>
          <w:sz w:val="22"/>
          <w:szCs w:val="22"/>
        </w:rPr>
        <w:t>This collection of up to six fields can hold the quantity for alternate part numbers.</w:t>
      </w:r>
    </w:p>
    <w:p>
      <w:pPr>
        <w:pStyle w:val="Heading3"/>
        <w:numPr>
          <w:ilvl w:val="0"/>
          <w:numId w:val="4"/>
        </w:numPr>
        <w:spacing w:before="120" w:after="0"/>
        <w:rPr>
          <w:rFonts w:ascii="Calibri" w:hAnsi="Calibri" w:cs="Calibri"/>
          <w:b w:val="false"/>
          <w:sz w:val="22"/>
          <w:szCs w:val="22"/>
        </w:rPr>
      </w:pPr>
      <w:r>
        <w:rPr>
          <w:rFonts w:cs="Calibri" w:ascii="Calibri" w:hAnsi="Calibri"/>
          <w:sz w:val="22"/>
          <w:szCs w:val="22"/>
        </w:rPr>
        <w:t xml:space="preserve">Dealer Upd: </w:t>
      </w:r>
      <w:r>
        <w:rPr>
          <w:rFonts w:cs="Calibri" w:ascii="Calibri" w:hAnsi="Calibri"/>
          <w:b w:val="false"/>
          <w:sz w:val="22"/>
          <w:szCs w:val="22"/>
        </w:rPr>
        <w:t xml:space="preserve">This field shows a “d” if the information about alternate numbers was entered by the dealer.  </w:t>
      </w:r>
    </w:p>
    <w:p>
      <w:pPr>
        <w:pStyle w:val="Heading3"/>
        <w:numPr>
          <w:ilvl w:val="1"/>
          <w:numId w:val="4"/>
        </w:numPr>
        <w:spacing w:before="120" w:after="0"/>
        <w:rPr>
          <w:rFonts w:ascii="Calibri" w:hAnsi="Calibri" w:cs="Calibri"/>
          <w:b w:val="false"/>
          <w:sz w:val="22"/>
          <w:szCs w:val="22"/>
        </w:rPr>
      </w:pPr>
      <w:r>
        <w:rPr>
          <w:rFonts w:cs="Calibri" w:ascii="Calibri" w:hAnsi="Calibri"/>
          <w:b w:val="false"/>
          <w:sz w:val="22"/>
          <w:szCs w:val="22"/>
        </w:rPr>
        <w:t>In isolated cases, you might find an “m,” which indicates the manufacturer provided the information some time back.</w:t>
      </w:r>
    </w:p>
    <w:sectPr>
      <w:headerReference w:type="default" r:id="rId4"/>
      <w:footerReference w:type="default" r:id="rId5"/>
      <w:type w:val="nextPage"/>
      <w:pgSz w:w="12240" w:h="15840"/>
      <w:pgMar w:left="1800" w:right="1800" w:gutter="0" w:header="720" w:top="1440" w:footer="720" w:bottom="1440"/>
      <w:pgNumType w:fmt="decimal"/>
      <w:formProt w:val="false"/>
      <w:textDirection w:val="lrTb"/>
      <w:docGrid w:type="default" w:linePitch="2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Fonts w:eastAsia="Arial Unicode MS"/>
      </w:rPr>
    </w:pPr>
    <w:r>
      <w:rPr>
        <w:rStyle w:val="Footer1Char"/>
      </w:rPr>
      <w:t xml:space="preserve">NVRWA002-RWDBF </w:t>
    </w:r>
    <w:r>
      <w:rPr>
        <w:rStyle w:val="Footer1Char"/>
      </w:rPr>
      <w:fldChar w:fldCharType="begin"/>
    </w:r>
    <w:r>
      <w:rPr>
        <w:rStyle w:val="Footer1Char"/>
      </w:rPr>
      <w:instrText xml:space="preserve"> DATE \@"M\/d\/yyyy" </w:instrText>
    </w:r>
    <w:r>
      <w:rPr>
        <w:rStyle w:val="Footer1Char"/>
      </w:rPr>
      <w:fldChar w:fldCharType="separate"/>
    </w:r>
    <w:r>
      <w:rPr>
        <w:rStyle w:val="Footer1Char"/>
      </w:rPr>
      <w:t>1/17/2026</w:t>
    </w:r>
    <w:r>
      <w:rPr>
        <w:rStyle w:val="Footer1Char"/>
      </w:rPr>
      <w:fldChar w:fldCharType="end"/>
    </w:r>
    <w:r>
      <w:rPr/>
      <w:tab/>
      <w:tab/>
    </w:r>
    <w:r>
      <w:rPr>
        <w:rStyle w:val="PageNumber"/>
      </w:rPr>
      <w:t>A002:2</w:t>
    </w:r>
  </w:p>
  <w:p>
    <w:pPr>
      <w:pStyle w:val="Footer"/>
      <w:rPr/>
    </w:pPr>
    <w:r>
      <w:rPr>
        <w:rStyle w:val="PageNumber"/>
      </w:rPr>
      <w:t>HBS Systems</w:t>
      <w:tab/>
      <w:tab/>
    </w:r>
    <w:r>
      <w:rPr>
        <w:rStyle w:val="PageNumber"/>
        <w:b w:val="false"/>
        <w:bCs/>
        <w:i/>
      </w:rPr>
      <w:t>RWDBF</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b w:val="false"/>
      </w:rPr>
      <w:t>Appendix A – Database Files</w:t>
      <w:tab/>
    </w:r>
    <w:r>
      <w:rPr>
        <w:rStyle w:val="PageNumber"/>
        <w:b/>
      </w:rPr>
      <w:t>Report Writer</w:t>
    </w:r>
  </w:p>
  <w:p>
    <w:pPr>
      <w:pStyle w:val="Header"/>
      <w:rPr/>
    </w:pPr>
    <w:r>
      <w:rPr>
        <w:rStyle w:val="PageNumber"/>
        <w:b/>
      </w:rPr>
      <w:t xml:space="preserve">Netview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NOTE:  "/>
      <w:lvlJc w:val="left"/>
      <w:pPr>
        <w:tabs>
          <w:tab w:val="num" w:pos="1080"/>
        </w:tabs>
        <w:ind w:left="360" w:hanging="360"/>
      </w:pPr>
      <w:rPr>
        <w:smallCaps w:val="false"/>
        <w:caps w:val="false"/>
        <w:outline w:val="false"/>
        <w:dstrike w:val="false"/>
        <w:strike w:val="false"/>
        <w:vertAlign w:val="baseline"/>
        <w:position w:val="0"/>
        <w:sz w:val="20"/>
        <w:sz w:val="20"/>
        <w:i w:val="false"/>
        <w:shadow w:val="false"/>
        <w:b/>
        <w:vanish w:val="false"/>
        <w:rFonts w:ascii="Verdana" w:hAnsi="Verdana" w:cs="Verdana"/>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Verdana" w:hAnsi="Verdana" w:eastAsia="Times New Roman" w:cs="Verdana"/>
      <w:color w:val="auto"/>
      <w:sz w:val="20"/>
      <w:szCs w:val="24"/>
      <w:lang w:val="en-U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sz w:val="28"/>
    </w:rPr>
  </w:style>
  <w:style w:type="paragraph" w:styleId="Heading2">
    <w:name w:val="heading 2"/>
    <w:basedOn w:val="Normal"/>
    <w:next w:val="Body"/>
    <w:qFormat/>
    <w:pPr>
      <w:keepNext w:val="true"/>
      <w:numPr>
        <w:ilvl w:val="1"/>
        <w:numId w:val="1"/>
      </w:numPr>
      <w:spacing w:before="240" w:after="60"/>
      <w:jc w:val="both"/>
      <w:outlineLvl w:val="1"/>
    </w:pPr>
    <w:rPr>
      <w:rFonts w:ascii="Verdana" w:hAnsi="Verdana" w:cs="Verdana"/>
      <w:b/>
    </w:rPr>
  </w:style>
  <w:style w:type="paragraph" w:styleId="Heading3">
    <w:name w:val="heading 3"/>
    <w:basedOn w:val="Normal"/>
    <w:next w:val="BodyText"/>
    <w:qFormat/>
    <w:pPr>
      <w:keepNext w:val="true"/>
      <w:numPr>
        <w:ilvl w:val="2"/>
        <w:numId w:val="1"/>
      </w:numPr>
      <w:spacing w:before="240" w:after="0"/>
      <w:jc w:val="both"/>
      <w:outlineLvl w:val="2"/>
    </w:pPr>
    <w:rPr>
      <w:rFonts w:ascii="Verdana" w:hAnsi="Verdana" w:cs="Verdana"/>
      <w:b/>
      <w:sz w:val="20"/>
    </w:rPr>
  </w:style>
  <w:style w:type="paragraph" w:styleId="Heading4">
    <w:name w:val="heading 4"/>
    <w:basedOn w:val="Normal"/>
    <w:next w:val="Normal"/>
    <w:qFormat/>
    <w:pPr>
      <w:keepNext w:val="true"/>
      <w:numPr>
        <w:ilvl w:val="3"/>
        <w:numId w:val="1"/>
      </w:numPr>
      <w:spacing w:before="240" w:after="0"/>
      <w:ind w:hanging="0" w:left="331" w:right="0"/>
      <w:jc w:val="both"/>
      <w:outlineLvl w:val="3"/>
    </w:pPr>
    <w:rPr>
      <w:rFonts w:ascii="Verdana" w:hAnsi="Verdana" w:cs="Verdana"/>
      <w:b/>
      <w:bCs/>
      <w:sz w:val="20"/>
      <w:szCs w:val="28"/>
    </w:rPr>
  </w:style>
  <w:style w:type="paragraph" w:styleId="Heading5">
    <w:name w:val="heading 5"/>
    <w:basedOn w:val="Normal"/>
    <w:next w:val="Normal"/>
    <w:qFormat/>
    <w:pPr>
      <w:numPr>
        <w:ilvl w:val="4"/>
        <w:numId w:val="1"/>
      </w:numPr>
      <w:spacing w:before="240" w:after="0"/>
      <w:ind w:hanging="0" w:left="691" w:right="0"/>
      <w:jc w:val="both"/>
      <w:outlineLvl w:val="4"/>
    </w:pPr>
    <w:rPr>
      <w:rFonts w:ascii="Verdana" w:hAnsi="Verdana" w:cs="Verdana"/>
      <w:b/>
      <w:bCs/>
      <w:iCs/>
      <w:sz w:val="20"/>
      <w:szCs w:val="26"/>
    </w:rPr>
  </w:style>
  <w:style w:type="character" w:styleId="WW8Num1z0">
    <w:name w:val="WW8Num1z0"/>
    <w:qFormat/>
    <w:rPr>
      <w:rFonts w:ascii="Verdana" w:hAnsi="Verdana" w:cs="Verdana"/>
      <w:b/>
      <w:i w:val="false"/>
      <w:caps w:val="false"/>
      <w:smallCaps w:val="false"/>
      <w:strike w:val="false"/>
      <w:dstrike w:val="false"/>
      <w:outline w:val="false"/>
      <w:shadow w:val="false"/>
      <w:vanish w:val="false"/>
      <w:position w:val="0"/>
      <w:sz w:val="20"/>
      <w:sz w:val="20"/>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PageNumber">
    <w:name w:val="page number"/>
    <w:rPr>
      <w:rFonts w:ascii="Verdana" w:hAnsi="Verdana" w:cs="Verdana"/>
      <w:b/>
      <w:strike w:val="false"/>
      <w:dstrike w:val="false"/>
      <w:position w:val="0"/>
      <w:sz w:val="20"/>
      <w:sz w:val="20"/>
      <w:vertAlign w:val="baseline"/>
    </w:rPr>
  </w:style>
  <w:style w:type="character" w:styleId="FooterChar">
    <w:name w:val="Footer Char"/>
    <w:qFormat/>
    <w:rPr>
      <w:rFonts w:ascii="Verdana" w:hAnsi="Verdana" w:cs="Verdana"/>
      <w:szCs w:val="24"/>
      <w:lang w:val="en-US" w:bidi="ar-SA"/>
    </w:rPr>
  </w:style>
  <w:style w:type="character" w:styleId="Footer1Char">
    <w:name w:val="Footer 1 Char"/>
    <w:qFormat/>
    <w:rPr>
      <w:rFonts w:ascii="Verdana" w:hAnsi="Verdana" w:cs="Verdana"/>
      <w:i/>
      <w:sz w:val="16"/>
      <w:szCs w:val="24"/>
      <w:lang w:val="en-US" w:bidi="ar-SA"/>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next w:val="Body"/>
    <w:pPr>
      <w:jc w:val="both"/>
    </w:pPr>
    <w:rPr>
      <w:rFonts w:ascii="Verdana" w:hAnsi="Verdana" w:cs="Verdana"/>
      <w:sz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
    <w:name w:val="Body"/>
    <w:basedOn w:val="Normal"/>
    <w:qFormat/>
    <w:pPr>
      <w:spacing w:before="240" w:after="0"/>
      <w:jc w:val="both"/>
    </w:pPr>
    <w:rPr>
      <w:rFonts w:ascii="Verdana" w:hAnsi="Verdana" w:cs="Verdana"/>
      <w:sz w:val="20"/>
    </w:rPr>
  </w:style>
  <w:style w:type="paragraph" w:styleId="Command">
    <w:name w:val="Command"/>
    <w:basedOn w:val="Normal"/>
    <w:qFormat/>
    <w:pPr>
      <w:spacing w:before="240" w:after="0"/>
      <w:ind w:hanging="0" w:left="331" w:right="0"/>
      <w:jc w:val="both"/>
    </w:pPr>
    <w:rPr>
      <w:rFonts w:ascii="Verdana" w:hAnsi="Verdana" w:cs="Verdana"/>
      <w:b/>
      <w:sz w:val="20"/>
    </w:rPr>
  </w:style>
  <w:style w:type="paragraph" w:styleId="Continued">
    <w:name w:val="Continued"/>
    <w:basedOn w:val="Heading2"/>
    <w:qFormat/>
    <w:pPr>
      <w:numPr>
        <w:ilvl w:val="0"/>
        <w:numId w:val="0"/>
      </w:numPr>
      <w:spacing w:before="0" w:after="60"/>
      <w:jc w:val="both"/>
      <w:outlineLvl w:val="9"/>
    </w:pPr>
    <w:rPr>
      <w:rFonts w:ascii="Verdana" w:hAnsi="Verdana" w:cs="Times New Roman"/>
      <w:bCs/>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jc w:val="both"/>
    </w:pPr>
    <w:rPr>
      <w:rFonts w:ascii="Verdana" w:hAnsi="Verdana" w:cs="Verdana"/>
      <w:sz w:val="20"/>
    </w:rPr>
  </w:style>
  <w:style w:type="paragraph" w:styleId="Footer1">
    <w:name w:val="Footer 1"/>
    <w:basedOn w:val="Footer"/>
    <w:qFormat/>
    <w:pPr>
      <w:tabs>
        <w:tab w:val="clear" w:pos="4320"/>
        <w:tab w:val="right" w:pos="8640" w:leader="none"/>
      </w:tabs>
    </w:pPr>
    <w:rPr>
      <w:i/>
      <w:sz w:val="16"/>
    </w:rPr>
  </w:style>
  <w:style w:type="paragraph" w:styleId="Header">
    <w:name w:val="header"/>
    <w:basedOn w:val="Normal"/>
    <w:pPr>
      <w:tabs>
        <w:tab w:val="clear" w:pos="720"/>
        <w:tab w:val="right" w:pos="8640" w:leader="none"/>
      </w:tabs>
      <w:jc w:val="both"/>
    </w:pPr>
    <w:rPr>
      <w:rFonts w:ascii="Verdana" w:hAnsi="Verdana" w:cs="Verdana"/>
      <w:b/>
      <w:i/>
      <w:sz w:val="20"/>
    </w:rPr>
  </w:style>
  <w:style w:type="paragraph" w:styleId="Indent">
    <w:name w:val="Indent"/>
    <w:basedOn w:val="Normal"/>
    <w:qFormat/>
    <w:pPr>
      <w:spacing w:before="240" w:after="0"/>
      <w:ind w:hanging="0" w:left="331" w:right="0"/>
      <w:jc w:val="both"/>
    </w:pPr>
    <w:rPr>
      <w:rFonts w:ascii="Verdana" w:hAnsi="Verdana" w:cs="Verdana"/>
      <w:sz w:val="20"/>
    </w:rPr>
  </w:style>
  <w:style w:type="paragraph" w:styleId="IndentText">
    <w:name w:val="Indent Text"/>
    <w:basedOn w:val="Indent"/>
    <w:qFormat/>
    <w:pPr>
      <w:spacing w:before="0" w:after="0"/>
    </w:pPr>
    <w:rPr/>
  </w:style>
  <w:style w:type="paragraph" w:styleId="Indent2">
    <w:name w:val="Indent2"/>
    <w:basedOn w:val="Indent"/>
    <w:qFormat/>
    <w:pPr>
      <w:ind w:hanging="0" w:left="696" w:right="0"/>
    </w:pPr>
    <w:rPr/>
  </w:style>
  <w:style w:type="paragraph" w:styleId="Indent2Text">
    <w:name w:val="Indent2 Text"/>
    <w:basedOn w:val="Indent2"/>
    <w:qFormat/>
    <w:pPr>
      <w:spacing w:before="0" w:after="0"/>
      <w:ind w:hanging="0" w:left="691" w:right="0"/>
    </w:pPr>
    <w:rPr/>
  </w:style>
  <w:style w:type="paragraph" w:styleId="Note">
    <w:name w:val="Note"/>
    <w:basedOn w:val="Normal"/>
    <w:next w:val="Body"/>
    <w:qFormat/>
    <w:pPr>
      <w:numPr>
        <w:ilvl w:val="0"/>
        <w:numId w:val="2"/>
      </w:numPr>
      <w:tabs>
        <w:tab w:val="clear" w:pos="720"/>
        <w:tab w:val="left" w:pos="888" w:leader="none"/>
      </w:tabs>
      <w:spacing w:before="240" w:after="0"/>
      <w:ind w:hanging="0" w:left="0" w:right="0"/>
    </w:pPr>
    <w:rPr/>
  </w:style>
  <w:style w:type="paragraph" w:styleId="Note2">
    <w:name w:val="Note2"/>
    <w:basedOn w:val="Note"/>
    <w:next w:val="Body"/>
    <w:qFormat/>
    <w:pPr>
      <w:numPr>
        <w:ilvl w:val="0"/>
        <w:numId w:val="0"/>
      </w:numPr>
      <w:tabs>
        <w:tab w:val="left" w:pos="888" w:leader="none"/>
        <w:tab w:val="left" w:pos="1248" w:leader="none"/>
      </w:tabs>
      <w:ind w:hanging="0" w:left="360" w:right="0"/>
    </w:pPr>
    <w:rPr/>
  </w:style>
  <w:style w:type="paragraph" w:styleId="Screen">
    <w:name w:val="Screen"/>
    <w:basedOn w:val="Normal"/>
    <w:qFormat/>
    <w:pPr>
      <w:jc w:val="left"/>
    </w:pPr>
    <w:rPr>
      <w:rFonts w:ascii="Courier New" w:hAnsi="Courier New" w:cs="Courier New"/>
      <w:b/>
      <w:sz w:val="18"/>
    </w:rPr>
  </w:style>
  <w:style w:type="paragraph" w:styleId="TOC1">
    <w:name w:val="toc 1"/>
    <w:basedOn w:val="Normal"/>
    <w:pPr>
      <w:tabs>
        <w:tab w:val="clear" w:pos="720"/>
        <w:tab w:val="right" w:pos="8640" w:leader="dot"/>
      </w:tabs>
      <w:spacing w:before="180" w:after="120"/>
    </w:pPr>
    <w:rPr>
      <w:b/>
    </w:rPr>
  </w:style>
  <w:style w:type="paragraph" w:styleId="TOC2">
    <w:name w:val="toc 2"/>
    <w:basedOn w:val="Normal"/>
    <w:pPr>
      <w:tabs>
        <w:tab w:val="clear" w:pos="720"/>
        <w:tab w:val="right" w:pos="8640" w:leader="dot"/>
      </w:tabs>
      <w:ind w:hanging="0" w:left="200" w:right="0"/>
    </w:pPr>
    <w:rPr/>
  </w:style>
  <w:style w:type="paragraph" w:styleId="TOCBase">
    <w:name w:val="TOC Base"/>
    <w:basedOn w:val="Heading2"/>
    <w:next w:val="TOC1"/>
    <w:qFormat/>
    <w:pPr>
      <w:numPr>
        <w:ilvl w:val="0"/>
        <w:numId w:val="0"/>
      </w:numPr>
      <w:tabs>
        <w:tab w:val="clear" w:pos="720"/>
        <w:tab w:val="right" w:pos="8640" w:leader="none"/>
      </w:tabs>
      <w:spacing w:before="0" w:after="0"/>
      <w:outlineLvl w:val="9"/>
    </w:pPr>
    <w:rPr>
      <w:sz w:val="24"/>
      <w:u w:val="single"/>
    </w:rPr>
  </w:style>
  <w:style w:type="paragraph" w:styleId="TOC3">
    <w:name w:val="TOC3"/>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1038</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2015-10-14T21:49:00Z</dcterms:created>
  <dc:creator>sdavis</dc:creator>
  <dc:description/>
  <cp:keywords/>
  <dc:language>en-US</dc:language>
  <cp:lastModifiedBy>Shelby Lund</cp:lastModifiedBy>
  <cp:lastPrinted>2009-02-18T08:45:00Z</cp:lastPrinted>
  <dcterms:modified xsi:type="dcterms:W3CDTF">2015-10-16T18:44:00Z</dcterms:modified>
  <cp:revision>7</cp:revision>
  <dc:subject/>
  <dc:title>Inventory Alternate Parts and Comments   Chaptner 2</dc:title>
</cp:coreProperties>
</file>