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20" w:after="0"/>
        <w:ind w:hanging="0" w:left="0"/>
        <w:rPr/>
      </w:pPr>
      <w:r>
        <w:rPr>
          <w:rFonts w:cs="Calibri" w:ascii="Calibri" w:hAnsi="Calibri"/>
          <w:sz w:val="28"/>
          <w:szCs w:val="28"/>
        </w:rPr>
        <w:t xml:space="preserve">Inventory Source Factoring: </w:t>
      </w:r>
      <w:r>
        <w:rPr>
          <w:rFonts w:cs="Calibri" w:ascii="Calibri" w:hAnsi="Calibri"/>
          <w:b w:val="false"/>
          <w:sz w:val="22"/>
          <w:szCs w:val="22"/>
        </w:rPr>
        <w:t xml:space="preserve">This file pulls data from the Source Factor portion (price tiers) of the Source Master Record. </w:t>
      </w:r>
    </w:p>
    <w:p>
      <w:pPr>
        <w:pStyle w:val="BodyText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10025" cy="28956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numPr>
          <w:ilvl w:val="0"/>
          <w:numId w:val="2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Source #: </w:t>
      </w:r>
      <w:r>
        <w:rPr>
          <w:rFonts w:cs="Calibri" w:ascii="Calibri" w:hAnsi="Calibri"/>
          <w:b w:val="false"/>
          <w:sz w:val="22"/>
          <w:szCs w:val="22"/>
        </w:rPr>
        <w:t xml:space="preserve">The Source Number is a three-digit number which identifies the manufacturer or vendor for this source of parts.  Usually, the Source Number is the number of the corresponding price file.  </w:t>
      </w:r>
    </w:p>
    <w:p>
      <w:pPr>
        <w:pStyle w:val="Heading2"/>
        <w:numPr>
          <w:ilvl w:val="1"/>
          <w:numId w:val="2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Sometimes additional sources for the same vendor are added when there are multiple pricing schemes or ordering differences within that vendor’s parts.</w:t>
      </w:r>
    </w:p>
    <w:p>
      <w:pPr>
        <w:pStyle w:val="Heading3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Pricing Level: </w:t>
      </w:r>
      <w:r>
        <w:rPr>
          <w:rFonts w:cs="Calibri" w:ascii="Calibri" w:hAnsi="Calibri"/>
          <w:b w:val="false"/>
          <w:sz w:val="22"/>
          <w:szCs w:val="22"/>
        </w:rPr>
        <w:t>The Pricing Level field contains a number from 01-99.  These price levels are simply a definition of a series of dollar ranges based on the MSRP of the parts for this source number.  Each source MUST have at least ONE price level.</w:t>
      </w:r>
    </w:p>
    <w:p>
      <w:pPr>
        <w:pStyle w:val="Heading3"/>
        <w:keepNext w:val="false"/>
        <w:keepLines/>
        <w:widowControl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Cost Flag 1: </w:t>
      </w:r>
      <w:r>
        <w:rPr>
          <w:rFonts w:cs="Calibri" w:ascii="Calibri" w:hAnsi="Calibri"/>
          <w:b w:val="false"/>
          <w:sz w:val="22"/>
          <w:szCs w:val="22"/>
        </w:rPr>
        <w:t>This field identifies how cost is based for this price level of this source.  It may be a value from 1 – 6.</w:t>
      </w:r>
    </w:p>
    <w:p>
      <w:pPr>
        <w:pStyle w:val="Heading3"/>
        <w:keepNext w:val="false"/>
        <w:widowControl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Retail Flag 1–4: </w:t>
      </w:r>
      <w:r>
        <w:rPr>
          <w:rFonts w:cs="Calibri" w:ascii="Calibri" w:hAnsi="Calibri"/>
          <w:b w:val="false"/>
          <w:sz w:val="22"/>
          <w:szCs w:val="22"/>
        </w:rPr>
        <w:t>These fields identify what these price codes are based on for this price level with this source.  They may be a value from 1 – 6.</w:t>
      </w:r>
    </w:p>
    <w:p>
      <w:pPr>
        <w:pStyle w:val="Heading3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Retail Flag 5: </w:t>
      </w:r>
      <w:r>
        <w:rPr>
          <w:rFonts w:cs="Calibri" w:ascii="Calibri" w:hAnsi="Calibri"/>
          <w:b w:val="false"/>
          <w:sz w:val="22"/>
          <w:szCs w:val="22"/>
        </w:rPr>
        <w:t>This field identifies what the MSRP or book price is based upon.  It may be a value from 1 – 6.</w:t>
      </w:r>
    </w:p>
    <w:p>
      <w:pPr>
        <w:pStyle w:val="Heading3"/>
        <w:keepNext w:val="false"/>
        <w:widowControl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Cost Percenta</w:t>
      </w:r>
      <w:r>
        <w:rPr>
          <w:rFonts w:cs="Calibri" w:ascii="Calibri" w:hAnsi="Calibri"/>
          <w:bCs/>
          <w:sz w:val="22"/>
          <w:szCs w:val="22"/>
        </w:rPr>
        <w:t>g</w:t>
      </w:r>
      <w:r>
        <w:rPr>
          <w:rFonts w:cs="Calibri" w:ascii="Calibri" w:hAnsi="Calibri"/>
          <w:sz w:val="22"/>
          <w:szCs w:val="22"/>
        </w:rPr>
        <w:t xml:space="preserve">e 1: </w:t>
      </w:r>
      <w:r>
        <w:rPr>
          <w:rFonts w:cs="Calibri" w:ascii="Calibri" w:hAnsi="Calibri"/>
          <w:b w:val="false"/>
          <w:sz w:val="22"/>
          <w:szCs w:val="22"/>
        </w:rPr>
        <w:t xml:space="preserve">This field is a three-digit number and is multiplied against the value in the price flag field for this level for this source.  </w:t>
      </w:r>
    </w:p>
    <w:p>
      <w:pPr>
        <w:pStyle w:val="Heading3"/>
        <w:keepNext w:val="false"/>
        <w:widowControl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If it is based on </w:t>
      </w:r>
      <w:r>
        <w:rPr>
          <w:rFonts w:cs="Calibri" w:ascii="Calibri" w:hAnsi="Calibri"/>
          <w:sz w:val="22"/>
          <w:szCs w:val="22"/>
        </w:rPr>
        <w:t>cost (1)</w:t>
      </w:r>
      <w:r>
        <w:rPr>
          <w:rFonts w:cs="Calibri" w:ascii="Calibri" w:hAnsi="Calibri"/>
          <w:b w:val="false"/>
          <w:sz w:val="22"/>
          <w:szCs w:val="22"/>
        </w:rPr>
        <w:t xml:space="preserve">, it is typically 100.  </w:t>
      </w:r>
    </w:p>
    <w:p>
      <w:pPr>
        <w:pStyle w:val="Heading3"/>
        <w:keepNext w:val="false"/>
        <w:widowControl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If it is based on </w:t>
      </w:r>
      <w:r>
        <w:rPr>
          <w:rFonts w:cs="Calibri" w:ascii="Calibri" w:hAnsi="Calibri"/>
          <w:sz w:val="22"/>
          <w:szCs w:val="22"/>
        </w:rPr>
        <w:t>MSRP/Book (2)</w:t>
      </w:r>
      <w:r>
        <w:rPr>
          <w:rFonts w:cs="Calibri" w:ascii="Calibri" w:hAnsi="Calibri"/>
          <w:b w:val="false"/>
          <w:sz w:val="22"/>
          <w:szCs w:val="22"/>
        </w:rPr>
        <w:t>, it is typically a number less than 100.</w:t>
      </w:r>
    </w:p>
    <w:p>
      <w:pPr>
        <w:pStyle w:val="Heading3"/>
        <w:keepNext w:val="false"/>
        <w:widowControl w:val="false"/>
        <w:numPr>
          <w:ilvl w:val="0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Retail Percentage 1 – 5: </w:t>
      </w:r>
      <w:r>
        <w:rPr>
          <w:rFonts w:cs="Calibri" w:ascii="Calibri" w:hAnsi="Calibri"/>
          <w:b w:val="false"/>
          <w:sz w:val="22"/>
          <w:szCs w:val="22"/>
        </w:rPr>
        <w:t xml:space="preserve">These fields hold a three-digit number that is multiplied against the value in the price flag field for this level for this source.  </w:t>
      </w:r>
    </w:p>
    <w:p>
      <w:pPr>
        <w:pStyle w:val="Heading3"/>
        <w:keepNext w:val="false"/>
        <w:widowControl w:val="false"/>
        <w:numPr>
          <w:ilvl w:val="1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A value of 100 in this field means that the value in the price flag field is itself.  </w:t>
      </w:r>
    </w:p>
    <w:p>
      <w:pPr>
        <w:pStyle w:val="Heading3"/>
        <w:keepNext w:val="false"/>
        <w:widowControl w:val="false"/>
        <w:numPr>
          <w:ilvl w:val="1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A value higher than 100 means the price flag value is being marked up.</w:t>
      </w:r>
    </w:p>
    <w:p>
      <w:pPr>
        <w:pStyle w:val="Heading3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Low $ Amount: </w:t>
      </w:r>
      <w:r>
        <w:rPr>
          <w:rFonts w:cs="Calibri" w:ascii="Calibri" w:hAnsi="Calibri"/>
          <w:b w:val="false"/>
          <w:sz w:val="22"/>
          <w:szCs w:val="22"/>
        </w:rPr>
        <w:t>The amount in this field represents the beginning value of the price tier defined.</w:t>
      </w:r>
    </w:p>
    <w:p>
      <w:pPr>
        <w:pStyle w:val="Heading3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High $ Amount: </w:t>
      </w:r>
      <w:r>
        <w:rPr>
          <w:rFonts w:cs="Calibri" w:ascii="Calibri" w:hAnsi="Calibri"/>
          <w:b w:val="false"/>
          <w:sz w:val="22"/>
          <w:szCs w:val="22"/>
        </w:rPr>
        <w:t>The amount in this field represents the ending value of the price tier defined.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NVRWA003-RWDBF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A003: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2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bCs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</w:rPr>
      <w:t>Appendix A – Database Files</w:t>
      <w:tab/>
    </w:r>
    <w:r>
      <w:rPr>
        <w:rStyle w:val="PageNumber"/>
        <w:b/>
      </w:rPr>
      <w:t xml:space="preserve"> Report Writer</w:t>
    </w:r>
  </w:p>
  <w:p>
    <w:pPr>
      <w:pStyle w:val="Header"/>
      <w:rPr/>
    </w:pPr>
    <w:r>
      <w:rPr>
        <w:rStyle w:val="PageNumber"/>
        <w:b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3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2015-10-15T15:12:00Z</dcterms:created>
  <dc:creator>sdavis</dc:creator>
  <dc:description/>
  <cp:keywords/>
  <dc:language>en-US</dc:language>
  <cp:lastModifiedBy>Shelby Lund</cp:lastModifiedBy>
  <cp:lastPrinted>2007-04-03T12:42:00Z</cp:lastPrinted>
  <dcterms:modified xsi:type="dcterms:W3CDTF">2015-10-16T18:43:00Z</dcterms:modified>
  <cp:revision>5</cp:revision>
  <dc:subject/>
  <dc:title>Inventory Source Factoring</dc:title>
</cp:coreProperties>
</file>