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keepNext w:val="false"/>
        <w:spacing w:before="120" w:after="0"/>
        <w:ind w:hanging="0" w:left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8"/>
          <w:szCs w:val="28"/>
        </w:rPr>
        <w:t xml:space="preserve">Parts Return File: </w:t>
      </w:r>
      <w:r>
        <w:rPr>
          <w:rFonts w:cs="Calibri" w:ascii="Calibri" w:hAnsi="Calibri"/>
          <w:b w:val="false"/>
          <w:sz w:val="22"/>
          <w:szCs w:val="22"/>
        </w:rPr>
        <w:t xml:space="preserve">This file pulls data from the Parts Return file. </w:t>
      </w:r>
    </w:p>
    <w:p>
      <w:pPr>
        <w:pStyle w:val="BodyText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2"/>
        <w:keepNext w:val="false"/>
        <w:spacing w:before="120" w:after="60"/>
        <w:ind w:hanging="0" w:left="0"/>
        <w:jc w:val="center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drawing>
          <wp:inline distT="0" distB="0" distL="0" distR="0">
            <wp:extent cx="3962400" cy="2524125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14" r="-9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524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Return: </w:t>
      </w:r>
      <w:r>
        <w:rPr>
          <w:rFonts w:cs="Calibri" w:ascii="Calibri" w:hAnsi="Calibri"/>
          <w:b w:val="false"/>
          <w:sz w:val="22"/>
          <w:szCs w:val="22"/>
        </w:rPr>
        <w:t>This field holds the return number.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Part #: </w:t>
      </w:r>
      <w:r>
        <w:rPr>
          <w:rFonts w:cs="Calibri" w:ascii="Calibri" w:hAnsi="Calibri"/>
          <w:b w:val="false"/>
          <w:sz w:val="22"/>
          <w:szCs w:val="22"/>
        </w:rPr>
        <w:t>This field lists the part numbers found on this Return.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Vendor: </w:t>
      </w:r>
      <w:r>
        <w:rPr>
          <w:rFonts w:cs="Calibri" w:ascii="Calibri" w:hAnsi="Calibri"/>
          <w:b w:val="false"/>
          <w:sz w:val="22"/>
          <w:szCs w:val="22"/>
        </w:rPr>
        <w:t>This field lists vendor numbers for the part numbers.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Part Type: </w:t>
      </w:r>
      <w:r>
        <w:rPr>
          <w:rFonts w:cs="Calibri" w:ascii="Calibri" w:hAnsi="Calibri"/>
          <w:b w:val="false"/>
          <w:sz w:val="22"/>
          <w:szCs w:val="22"/>
        </w:rPr>
        <w:t>This field lists the Part Types, which can be:</w:t>
      </w:r>
      <w:r>
        <w:rPr>
          <w:rFonts w:cs="Calibri" w:ascii="Calibri" w:hAnsi="Calibri"/>
          <w:sz w:val="22"/>
          <w:szCs w:val="22"/>
        </w:rPr>
        <w:t xml:space="preserve">  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C=Core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M=Memo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N=New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R=Remanufactured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U=Used.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Manufact ID: </w:t>
      </w:r>
      <w:r>
        <w:rPr>
          <w:rFonts w:cs="Calibri" w:ascii="Calibri" w:hAnsi="Calibri"/>
          <w:b w:val="false"/>
          <w:sz w:val="22"/>
          <w:szCs w:val="22"/>
        </w:rPr>
        <w:t>This field shows the manufacturer ID of the part, if any.</w:t>
      </w:r>
    </w:p>
    <w:p>
      <w:pPr>
        <w:pStyle w:val="BodyText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>Return Type</w:t>
      </w:r>
      <w:r>
        <w:rPr>
          <w:rFonts w:cs="Calibri" w:ascii="Calibri" w:hAnsi="Calibri"/>
          <w:sz w:val="22"/>
          <w:szCs w:val="22"/>
        </w:rPr>
        <w:t xml:space="preserve">: This field lists Return Types, which are:  </w:t>
      </w:r>
    </w:p>
    <w:p>
      <w:pPr>
        <w:pStyle w:val="BodyText"/>
        <w:numPr>
          <w:ilvl w:val="1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A = Annual</w:t>
      </w:r>
    </w:p>
    <w:p>
      <w:pPr>
        <w:pStyle w:val="BodyText"/>
        <w:numPr>
          <w:ilvl w:val="1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S = Special</w:t>
      </w:r>
    </w:p>
    <w:p>
      <w:pPr>
        <w:pStyle w:val="BodyText"/>
        <w:numPr>
          <w:ilvl w:val="1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C = Close Out</w:t>
      </w:r>
    </w:p>
    <w:p>
      <w:pPr>
        <w:pStyle w:val="BodyText"/>
        <w:numPr>
          <w:ilvl w:val="1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T</w:t>
      </w:r>
      <w:r>
        <w:rPr>
          <w:rFonts w:cs="Calibri" w:ascii="Calibri" w:hAnsi="Calibri"/>
          <w:b/>
          <w:bCs/>
          <w:sz w:val="22"/>
          <w:szCs w:val="22"/>
        </w:rPr>
        <w:t xml:space="preserve"> </w:t>
      </w:r>
      <w:r>
        <w:rPr>
          <w:rFonts w:cs="Calibri" w:ascii="Calibri" w:hAnsi="Calibri"/>
          <w:sz w:val="22"/>
          <w:szCs w:val="22"/>
        </w:rPr>
        <w:t xml:space="preserve">= Dealer Trade.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Qty: </w:t>
      </w:r>
      <w:r>
        <w:rPr>
          <w:rFonts w:cs="Calibri" w:ascii="Calibri" w:hAnsi="Calibri"/>
          <w:b w:val="false"/>
          <w:sz w:val="22"/>
          <w:szCs w:val="22"/>
        </w:rPr>
        <w:t>This field lists the quantity to be returned to the manufacturer.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Record Num: </w:t>
      </w:r>
      <w:r>
        <w:rPr>
          <w:rFonts w:cs="Calibri" w:ascii="Calibri" w:hAnsi="Calibri"/>
          <w:b w:val="false"/>
          <w:sz w:val="22"/>
          <w:szCs w:val="22"/>
        </w:rPr>
        <w:t>This field is reserved for future use.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Return Date: </w:t>
      </w:r>
      <w:r>
        <w:rPr>
          <w:rFonts w:cs="Calibri" w:ascii="Calibri" w:hAnsi="Calibri"/>
          <w:b w:val="false"/>
          <w:sz w:val="22"/>
          <w:szCs w:val="22"/>
        </w:rPr>
        <w:t>This field lists the date(s) for the Return(s).</w:t>
      </w:r>
      <w:r>
        <w:rPr>
          <w:rFonts w:cs="Calibri" w:ascii="Calibri" w:hAnsi="Calibri"/>
          <w:sz w:val="22"/>
          <w:szCs w:val="22"/>
        </w:rPr>
        <w:t xml:space="preserve"> </w:t>
      </w:r>
    </w:p>
    <w:sectPr>
      <w:headerReference w:type="default" r:id="rId3"/>
      <w:footerReference w:type="default" r:id="rId4"/>
      <w:type w:val="nextPage"/>
      <w:pgSz w:w="12240" w:h="15840"/>
      <w:pgMar w:left="1800" w:right="1800" w:gutter="0" w:header="720" w:top="1440" w:footer="720" w:bottom="1440"/>
      <w:pgNumType w:fmt="decimal"/>
      <w:formProt w:val="false"/>
      <w:textDirection w:val="lrTb"/>
      <w:docGrid w:type="default" w:linePitch="2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erdana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1"/>
      <w:rPr>
        <w:rStyle w:val="PageNumber"/>
        <w:rFonts w:eastAsia="Arial Unicode MS"/>
        <w:i/>
        <w:i/>
      </w:rPr>
    </w:pPr>
    <w:r>
      <w:rPr/>
      <w:t xml:space="preserve">NVRWA007-RWDBF </w:t>
    </w:r>
    <w:r>
      <w:rPr/>
      <w:fldChar w:fldCharType="begin"/>
    </w:r>
    <w:r>
      <w:rPr/>
      <w:instrText xml:space="preserve"> DATE \@"M\/d\/yyyy" </w:instrText>
    </w:r>
    <w:r>
      <w:rPr/>
      <w:fldChar w:fldCharType="separate"/>
    </w:r>
    <w:r>
      <w:rPr/>
      <w:t>1/17/2026</w:t>
    </w:r>
    <w:r>
      <w:rPr/>
      <w:fldChar w:fldCharType="end"/>
    </w:r>
    <w:r>
      <w:rPr/>
      <w:tab/>
    </w:r>
    <w:r>
      <w:rPr>
        <w:b/>
        <w:i w:val="false"/>
        <w:sz w:val="24"/>
      </w:rPr>
      <w:t>A007:</w:t>
    </w:r>
    <w:r>
      <w:rPr>
        <w:rStyle w:val="PageNumber"/>
        <w:i/>
        <w:sz w:val="24"/>
      </w:rPr>
      <w:fldChar w:fldCharType="begin"/>
    </w:r>
    <w:r>
      <w:rPr>
        <w:rStyle w:val="PageNumber"/>
        <w:sz w:val="24"/>
        <w:i/>
      </w:rPr>
      <w:instrText xml:space="preserve"> PAGE </w:instrText>
    </w:r>
    <w:r>
      <w:rPr>
        <w:rStyle w:val="PageNumber"/>
        <w:sz w:val="24"/>
        <w:i/>
      </w:rPr>
      <w:fldChar w:fldCharType="separate"/>
    </w:r>
    <w:r>
      <w:rPr>
        <w:rStyle w:val="PageNumber"/>
        <w:sz w:val="24"/>
        <w:i/>
      </w:rPr>
      <w:t>1</w:t>
    </w:r>
    <w:r>
      <w:rPr>
        <w:rStyle w:val="PageNumber"/>
        <w:sz w:val="24"/>
        <w:i/>
      </w:rPr>
      <w:fldChar w:fldCharType="end"/>
    </w:r>
  </w:p>
  <w:p>
    <w:pPr>
      <w:pStyle w:val="Footer"/>
      <w:rPr/>
    </w:pPr>
    <w:r>
      <w:rPr>
        <w:rStyle w:val="PageNumber"/>
      </w:rPr>
      <w:t>HBS Systems</w:t>
      <w:tab/>
      <w:tab/>
    </w:r>
    <w:r>
      <w:rPr>
        <w:rStyle w:val="PageNumber"/>
        <w:b w:val="false"/>
        <w:i/>
      </w:rPr>
      <w:t>RWDB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Style w:val="PageNumber"/>
        <w:bCs/>
      </w:rPr>
    </w:pPr>
    <w:r>
      <w:rPr>
        <w:rStyle w:val="PageNumber"/>
        <w:b w:val="false"/>
        <w:bCs/>
      </w:rPr>
      <w:t>Appendix A – Database Files</w:t>
      <w:tab/>
    </w:r>
    <w:r>
      <w:rPr>
        <w:rStyle w:val="PageNumber"/>
        <w:b/>
        <w:bCs/>
      </w:rPr>
      <w:t>Report Writer</w:t>
    </w:r>
  </w:p>
  <w:p>
    <w:pPr>
      <w:pStyle w:val="Header"/>
      <w:rPr/>
    </w:pPr>
    <w:r>
      <w:rPr>
        <w:rStyle w:val="PageNumber"/>
        <w:b/>
        <w:bCs/>
      </w:rPr>
      <w:t>Report Writer</w:t>
    </w:r>
    <w:r>
      <w:rPr>
        <w:rStyle w:val="PageNumber"/>
        <w:b/>
      </w:rPr>
      <w:tab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NOTE:  "/>
      <w:lvlJc w:val="left"/>
      <w:pPr>
        <w:tabs>
          <w:tab w:val="num" w:pos="1080"/>
        </w:tabs>
        <w:ind w:left="36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/>
        <w:vanish w:val="false"/>
        <w:rFonts w:ascii="Verdana" w:hAnsi="Verdana" w:cs="Verdana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both"/>
    </w:pPr>
    <w:rPr>
      <w:rFonts w:ascii="Verdana" w:hAnsi="Verdana" w:eastAsia="Times New Roman" w:cs="Verdana"/>
      <w:color w:val="auto"/>
      <w:sz w:val="20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rFonts w:ascii="Verdana" w:hAnsi="Verdana" w:cs="Verdana"/>
      <w:b/>
      <w:sz w:val="28"/>
    </w:rPr>
  </w:style>
  <w:style w:type="paragraph" w:styleId="Heading2">
    <w:name w:val="heading 2"/>
    <w:basedOn w:val="Normal"/>
    <w:next w:val="Body"/>
    <w:qFormat/>
    <w:pPr>
      <w:keepNext w:val="true"/>
      <w:numPr>
        <w:ilvl w:val="1"/>
        <w:numId w:val="1"/>
      </w:numPr>
      <w:spacing w:before="240" w:after="60"/>
      <w:jc w:val="both"/>
      <w:outlineLvl w:val="1"/>
    </w:pPr>
    <w:rPr>
      <w:rFonts w:ascii="Verdana" w:hAnsi="Verdana" w:cs="Verdana"/>
      <w:b/>
    </w:rPr>
  </w:style>
  <w:style w:type="paragraph" w:styleId="Heading3">
    <w:name w:val="heading 3"/>
    <w:basedOn w:val="Normal"/>
    <w:next w:val="BodyText"/>
    <w:qFormat/>
    <w:pPr>
      <w:keepNext w:val="true"/>
      <w:numPr>
        <w:ilvl w:val="2"/>
        <w:numId w:val="1"/>
      </w:numPr>
      <w:spacing w:before="240" w:after="0"/>
      <w:jc w:val="both"/>
      <w:outlineLvl w:val="2"/>
    </w:pPr>
    <w:rPr>
      <w:rFonts w:ascii="Verdana" w:hAnsi="Verdana" w:cs="Verdana"/>
      <w:b/>
      <w:sz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0"/>
      <w:ind w:hanging="0" w:left="331" w:right="0"/>
      <w:jc w:val="both"/>
      <w:outlineLvl w:val="3"/>
    </w:pPr>
    <w:rPr>
      <w:rFonts w:ascii="Verdana" w:hAnsi="Verdana" w:cs="Verdana"/>
      <w:b/>
      <w:bCs/>
      <w:sz w:val="20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0"/>
      <w:ind w:hanging="0" w:left="691" w:right="0"/>
      <w:jc w:val="both"/>
      <w:outlineLvl w:val="4"/>
    </w:pPr>
    <w:rPr>
      <w:rFonts w:ascii="Verdana" w:hAnsi="Verdana" w:cs="Verdana"/>
      <w:b/>
      <w:bCs/>
      <w:iCs/>
      <w:sz w:val="20"/>
      <w:szCs w:val="26"/>
    </w:rPr>
  </w:style>
  <w:style w:type="character" w:styleId="WW8Num1z0">
    <w:name w:val="WW8Num1z0"/>
    <w:qFormat/>
    <w:rPr>
      <w:rFonts w:ascii="Verdana" w:hAnsi="Verdana" w:cs="Verdana"/>
      <w:b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vertAlign w:val="baseline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PageNumber">
    <w:name w:val="page number"/>
    <w:rPr>
      <w:rFonts w:ascii="Verdana" w:hAnsi="Verdana" w:cs="Verdana"/>
      <w:b/>
      <w:strike w:val="false"/>
      <w:dstrike w:val="false"/>
      <w:position w:val="0"/>
      <w:sz w:val="20"/>
      <w:sz w:val="2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next w:val="Body"/>
    <w:pPr>
      <w:jc w:val="left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ody">
    <w:name w:val="Body"/>
    <w:basedOn w:val="Normal"/>
    <w:qFormat/>
    <w:pPr>
      <w:spacing w:before="240" w:after="0"/>
      <w:jc w:val="both"/>
    </w:pPr>
    <w:rPr>
      <w:rFonts w:ascii="Verdana" w:hAnsi="Verdana" w:cs="Verdana"/>
      <w:sz w:val="20"/>
    </w:rPr>
  </w:style>
  <w:style w:type="paragraph" w:styleId="Command">
    <w:name w:val="Command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b/>
      <w:sz w:val="20"/>
    </w:rPr>
  </w:style>
  <w:style w:type="paragraph" w:styleId="Continued">
    <w:name w:val="Continued"/>
    <w:basedOn w:val="Heading2"/>
    <w:qFormat/>
    <w:pPr>
      <w:numPr>
        <w:ilvl w:val="0"/>
        <w:numId w:val="0"/>
      </w:numPr>
      <w:spacing w:before="0" w:after="60"/>
      <w:jc w:val="both"/>
      <w:outlineLvl w:val="9"/>
    </w:pPr>
    <w:rPr>
      <w:rFonts w:ascii="Verdana" w:hAnsi="Verdana" w:cs="Times New Roman"/>
      <w:bCs/>
      <w:i/>
      <w:i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jc w:val="both"/>
    </w:pPr>
    <w:rPr>
      <w:rFonts w:ascii="Verdana" w:hAnsi="Verdana" w:cs="Verdana"/>
      <w:sz w:val="20"/>
    </w:rPr>
  </w:style>
  <w:style w:type="paragraph" w:styleId="Footer1">
    <w:name w:val="Footer 1"/>
    <w:basedOn w:val="Footer"/>
    <w:qFormat/>
    <w:pPr>
      <w:tabs>
        <w:tab w:val="clear" w:pos="4320"/>
        <w:tab w:val="right" w:pos="8640" w:leader="none"/>
      </w:tabs>
    </w:pPr>
    <w:rPr>
      <w:i/>
      <w:sz w:val="16"/>
    </w:rPr>
  </w:style>
  <w:style w:type="paragraph" w:styleId="Header">
    <w:name w:val="header"/>
    <w:basedOn w:val="Normal"/>
    <w:pPr>
      <w:tabs>
        <w:tab w:val="clear" w:pos="720"/>
        <w:tab w:val="right" w:pos="8640" w:leader="none"/>
      </w:tabs>
      <w:jc w:val="both"/>
    </w:pPr>
    <w:rPr>
      <w:rFonts w:ascii="Verdana" w:hAnsi="Verdana" w:cs="Verdana"/>
      <w:b/>
      <w:i/>
      <w:sz w:val="20"/>
    </w:rPr>
  </w:style>
  <w:style w:type="paragraph" w:styleId="Indent">
    <w:name w:val="Indent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sz w:val="20"/>
    </w:rPr>
  </w:style>
  <w:style w:type="paragraph" w:styleId="IndentText">
    <w:name w:val="Indent Text"/>
    <w:basedOn w:val="Indent"/>
    <w:qFormat/>
    <w:pPr>
      <w:spacing w:before="0" w:after="0"/>
    </w:pPr>
    <w:rPr/>
  </w:style>
  <w:style w:type="paragraph" w:styleId="Indent2">
    <w:name w:val="Indent2"/>
    <w:basedOn w:val="Indent"/>
    <w:qFormat/>
    <w:pPr>
      <w:ind w:hanging="0" w:left="696" w:right="0"/>
    </w:pPr>
    <w:rPr/>
  </w:style>
  <w:style w:type="paragraph" w:styleId="Indent2Text">
    <w:name w:val="Indent2 Text"/>
    <w:basedOn w:val="Indent2"/>
    <w:qFormat/>
    <w:pPr>
      <w:spacing w:before="0" w:after="0"/>
      <w:ind w:hanging="0" w:left="691" w:right="0"/>
    </w:pPr>
    <w:rPr/>
  </w:style>
  <w:style w:type="paragraph" w:styleId="Note">
    <w:name w:val="Note"/>
    <w:basedOn w:val="Normal"/>
    <w:next w:val="Body"/>
    <w:qFormat/>
    <w:pPr>
      <w:numPr>
        <w:ilvl w:val="0"/>
        <w:numId w:val="2"/>
      </w:numPr>
      <w:tabs>
        <w:tab w:val="clear" w:pos="720"/>
        <w:tab w:val="left" w:pos="888" w:leader="none"/>
      </w:tabs>
      <w:spacing w:before="240" w:after="0"/>
      <w:ind w:hanging="0" w:left="0" w:right="0"/>
    </w:pPr>
    <w:rPr/>
  </w:style>
  <w:style w:type="paragraph" w:styleId="Note2">
    <w:name w:val="Note2"/>
    <w:basedOn w:val="Note"/>
    <w:next w:val="Body"/>
    <w:qFormat/>
    <w:pPr>
      <w:numPr>
        <w:ilvl w:val="0"/>
        <w:numId w:val="0"/>
      </w:numPr>
      <w:tabs>
        <w:tab w:val="left" w:pos="888" w:leader="none"/>
        <w:tab w:val="left" w:pos="1248" w:leader="none"/>
      </w:tabs>
      <w:ind w:hanging="0" w:left="360" w:right="0"/>
    </w:pPr>
    <w:rPr/>
  </w:style>
  <w:style w:type="paragraph" w:styleId="Screen">
    <w:name w:val="Screen"/>
    <w:basedOn w:val="Normal"/>
    <w:qFormat/>
    <w:pPr>
      <w:jc w:val="left"/>
    </w:pPr>
    <w:rPr>
      <w:rFonts w:ascii="Courier New" w:hAnsi="Courier New" w:cs="Courier New"/>
      <w:b/>
      <w:sz w:val="18"/>
    </w:rPr>
  </w:style>
  <w:style w:type="paragraph" w:styleId="TOC1">
    <w:name w:val="toc 1"/>
    <w:basedOn w:val="Normal"/>
    <w:pPr>
      <w:tabs>
        <w:tab w:val="clear" w:pos="720"/>
        <w:tab w:val="right" w:pos="8640" w:leader="dot"/>
      </w:tabs>
      <w:spacing w:before="180" w:after="120"/>
    </w:pPr>
    <w:rPr>
      <w:b/>
    </w:rPr>
  </w:style>
  <w:style w:type="paragraph" w:styleId="TOC2">
    <w:name w:val="toc 2"/>
    <w:basedOn w:val="Normal"/>
    <w:pPr>
      <w:tabs>
        <w:tab w:val="clear" w:pos="720"/>
        <w:tab w:val="right" w:pos="8640" w:leader="dot"/>
      </w:tabs>
      <w:ind w:hanging="0" w:left="200" w:right="0"/>
    </w:pPr>
    <w:rPr/>
  </w:style>
  <w:style w:type="paragraph" w:styleId="TOCBase">
    <w:name w:val="TOC Base"/>
    <w:basedOn w:val="Heading2"/>
    <w:next w:val="TOC1"/>
    <w:qFormat/>
    <w:pPr>
      <w:numPr>
        <w:ilvl w:val="0"/>
        <w:numId w:val="0"/>
      </w:numPr>
      <w:tabs>
        <w:tab w:val="clear" w:pos="720"/>
        <w:tab w:val="right" w:pos="8640" w:leader="none"/>
      </w:tabs>
      <w:spacing w:before="0" w:after="0"/>
      <w:outlineLvl w:val="9"/>
    </w:pPr>
    <w:rPr>
      <w:sz w:val="24"/>
      <w:u w:val="single"/>
    </w:rPr>
  </w:style>
  <w:style w:type="paragraph" w:styleId="TOC3">
    <w:name w:val="TOC3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2015-10-16T16:42:00Z</dcterms:created>
  <dc:creator>sdavis</dc:creator>
  <dc:description/>
  <cp:keywords/>
  <dc:language>en-US</dc:language>
  <cp:lastModifiedBy>Shelby Lund</cp:lastModifiedBy>
  <cp:lastPrinted>2010-06-28T19:16:00Z</cp:lastPrinted>
  <dcterms:modified xsi:type="dcterms:W3CDTF">2015-10-16T18:45:00Z</dcterms:modified>
  <cp:revision>4</cp:revision>
  <dc:subject/>
  <dc:title>Parts Return File</dc:title>
</cp:coreProperties>
</file>