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spacing w:before="120" w:after="0"/>
        <w:rPr>
          <w:rFonts w:ascii="Calibri" w:hAnsi="Calibri" w:cs="Calibri"/>
          <w:b/>
          <w:bCs/>
          <w:sz w:val="28"/>
          <w:szCs w:val="28"/>
        </w:rPr>
      </w:pPr>
      <w:r>
        <w:rPr>
          <w:rFonts w:cs="Calibri" w:ascii="Calibri" w:hAnsi="Calibri"/>
          <w:b/>
          <w:bCs/>
          <w:sz w:val="28"/>
          <w:szCs w:val="28"/>
        </w:rPr>
        <w:t xml:space="preserve">Parts Month End Total File: </w:t>
      </w:r>
      <w:r>
        <w:rPr>
          <w:rFonts w:cs="Calibri" w:ascii="Calibri" w:hAnsi="Calibri"/>
          <w:sz w:val="22"/>
          <w:szCs w:val="22"/>
        </w:rPr>
        <w:t xml:space="preserve">This file pulls data from the Parts Month End file. </w:t>
      </w:r>
    </w:p>
    <w:p>
      <w:pPr>
        <w:pStyle w:val="BodyText"/>
        <w:spacing w:before="120" w:after="0"/>
        <w:rPr>
          <w:rFonts w:ascii="Calibri" w:hAnsi="Calibri" w:cs="Calibri"/>
          <w:b/>
          <w:bCs/>
          <w:sz w:val="22"/>
          <w:szCs w:val="22"/>
        </w:rPr>
      </w:pPr>
      <w:r>
        <w:rPr>
          <w:rFonts w:cs="Calibri" w:ascii="Calibri" w:hAnsi="Calibri"/>
          <w:b/>
          <w:bCs/>
          <w:sz w:val="22"/>
          <w:szCs w:val="22"/>
        </w:rPr>
      </w:r>
    </w:p>
    <w:p>
      <w:pPr>
        <w:pStyle w:val="BodyText"/>
        <w:spacing w:before="120" w:after="0"/>
        <w:jc w:val="center"/>
        <w:rPr>
          <w:rFonts w:ascii="Calibri" w:hAnsi="Calibri" w:cs="Calibri"/>
          <w:b/>
          <w:bCs/>
          <w:sz w:val="22"/>
          <w:szCs w:val="22"/>
        </w:rPr>
      </w:pPr>
      <w:r>
        <w:rPr>
          <w:rFonts w:cs="Calibri" w:ascii="Calibri" w:hAnsi="Calibri"/>
          <w:b/>
          <w:bCs/>
          <w:sz w:val="22"/>
          <w:szCs w:val="22"/>
        </w:rPr>
        <w:drawing>
          <wp:inline distT="0" distB="0" distL="0" distR="0">
            <wp:extent cx="3981450" cy="2905125"/>
            <wp:effectExtent l="0" t="0" r="0" b="0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9" t="-12" r="-9" b="-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1450" cy="2905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"/>
        <w:rPr>
          <w:rFonts w:ascii="Calibri" w:hAnsi="Calibri" w:cs="Calibri"/>
          <w:b/>
          <w:bCs/>
          <w:sz w:val="22"/>
          <w:szCs w:val="22"/>
        </w:rPr>
      </w:pPr>
      <w:r>
        <w:rPr>
          <w:rFonts w:cs="Calibri" w:ascii="Calibri" w:hAnsi="Calibri"/>
          <w:b/>
          <w:bCs/>
          <w:sz w:val="22"/>
          <w:szCs w:val="22"/>
        </w:rPr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Month End Date: </w:t>
      </w:r>
      <w:r>
        <w:rPr>
          <w:rFonts w:cs="Calibri" w:ascii="Calibri" w:hAnsi="Calibri"/>
          <w:b w:val="false"/>
          <w:sz w:val="22"/>
          <w:szCs w:val="22"/>
        </w:rPr>
        <w:t>This field shows the date of parts month end.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Vendor: </w:t>
      </w:r>
      <w:r>
        <w:rPr>
          <w:rFonts w:cs="Calibri" w:ascii="Calibri" w:hAnsi="Calibri"/>
          <w:b w:val="false"/>
          <w:sz w:val="22"/>
          <w:szCs w:val="22"/>
        </w:rPr>
        <w:t>This field holds the vendor number.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Stock Class: </w:t>
      </w:r>
      <w:r>
        <w:rPr>
          <w:rFonts w:cs="Calibri" w:ascii="Calibri" w:hAnsi="Calibri"/>
          <w:b w:val="false"/>
          <w:sz w:val="22"/>
          <w:szCs w:val="22"/>
        </w:rPr>
        <w:t>This field shows the stock class designation for the parts of this vendor.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Cur # Parts: </w:t>
      </w:r>
      <w:r>
        <w:rPr>
          <w:rFonts w:cs="Calibri" w:ascii="Calibri" w:hAnsi="Calibri"/>
          <w:b w:val="false"/>
          <w:sz w:val="22"/>
          <w:szCs w:val="22"/>
        </w:rPr>
        <w:t>This field shows the number of part masters for this vendor.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Cur OnHand Qty: </w:t>
      </w:r>
      <w:r>
        <w:rPr>
          <w:rFonts w:cs="Calibri" w:ascii="Calibri" w:hAnsi="Calibri"/>
          <w:b w:val="false"/>
          <w:sz w:val="22"/>
          <w:szCs w:val="22"/>
        </w:rPr>
        <w:t>This field shows the on-hand quantities for this vendor.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Cur OnHand Value: </w:t>
      </w:r>
      <w:r>
        <w:rPr>
          <w:rFonts w:cs="Calibri" w:ascii="Calibri" w:hAnsi="Calibri"/>
          <w:b w:val="false"/>
          <w:sz w:val="22"/>
          <w:szCs w:val="22"/>
        </w:rPr>
        <w:t>This field shows the inventory value for this vendor.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Cur On Ord Qty: </w:t>
      </w:r>
      <w:r>
        <w:rPr>
          <w:rFonts w:cs="Calibri" w:ascii="Calibri" w:hAnsi="Calibri"/>
          <w:b w:val="false"/>
          <w:sz w:val="22"/>
          <w:szCs w:val="22"/>
        </w:rPr>
        <w:t>This field shows the quantity of parts on order for this vendor.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Cur On Ord Value: </w:t>
      </w:r>
      <w:r>
        <w:rPr>
          <w:rFonts w:cs="Calibri" w:ascii="Calibri" w:hAnsi="Calibri"/>
          <w:b w:val="false"/>
          <w:sz w:val="22"/>
          <w:szCs w:val="22"/>
        </w:rPr>
        <w:t>This field shows the dollar value of parts on order for this vendor.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Month $ Sold: </w:t>
      </w:r>
      <w:r>
        <w:rPr>
          <w:rFonts w:cs="Calibri" w:ascii="Calibri" w:hAnsi="Calibri"/>
          <w:b w:val="false"/>
          <w:sz w:val="22"/>
          <w:szCs w:val="22"/>
        </w:rPr>
        <w:t>This field lists the month’s sales for this vendor in actual dollars.</w:t>
      </w:r>
    </w:p>
    <w:p>
      <w:pPr>
        <w:pStyle w:val="Heading2"/>
        <w:keepNext w:val="false"/>
        <w:numPr>
          <w:ilvl w:val="0"/>
          <w:numId w:val="3"/>
        </w:numPr>
        <w:spacing w:before="120" w:after="6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Year $ Sold: </w:t>
      </w:r>
      <w:r>
        <w:rPr>
          <w:rFonts w:cs="Calibri" w:ascii="Calibri" w:hAnsi="Calibri"/>
          <w:b w:val="false"/>
          <w:sz w:val="22"/>
          <w:szCs w:val="22"/>
        </w:rPr>
        <w:t>This field lists the vendor’s total sales dollars for the calendar year.</w:t>
      </w:r>
    </w:p>
    <w:p>
      <w:pPr>
        <w:pStyle w:val="BodyText"/>
        <w:numPr>
          <w:ilvl w:val="0"/>
          <w:numId w:val="3"/>
        </w:numPr>
        <w:spacing w:before="120" w:after="0"/>
        <w:rPr>
          <w:rFonts w:ascii="Calibri" w:hAnsi="Calibri" w:cs="Calibri"/>
          <w:b/>
          <w:sz w:val="22"/>
          <w:szCs w:val="22"/>
        </w:rPr>
      </w:pPr>
      <w:r>
        <w:rPr>
          <w:rFonts w:cs="Calibri" w:ascii="Calibri" w:hAnsi="Calibri"/>
          <w:b/>
          <w:sz w:val="22"/>
          <w:szCs w:val="22"/>
        </w:rPr>
        <w:t>Month $ Cost</w:t>
      </w:r>
      <w:r>
        <w:rPr>
          <w:rFonts w:cs="Calibri" w:ascii="Calibri" w:hAnsi="Calibri"/>
          <w:b/>
          <w:sz w:val="22"/>
          <w:szCs w:val="22"/>
        </w:rPr>
        <w:t xml:space="preserve">: </w:t>
      </w:r>
      <w:r>
        <w:rPr>
          <w:rFonts w:cs="Calibri" w:ascii="Calibri" w:hAnsi="Calibri"/>
          <w:sz w:val="22"/>
          <w:szCs w:val="22"/>
        </w:rPr>
        <w:t>This field lists the month’s cost of sales for this vendor in actual dollars.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Year $ Cost: </w:t>
      </w:r>
      <w:r>
        <w:rPr>
          <w:rFonts w:cs="Calibri" w:ascii="Calibri" w:hAnsi="Calibri"/>
          <w:b w:val="false"/>
          <w:sz w:val="22"/>
          <w:szCs w:val="22"/>
        </w:rPr>
        <w:t>This field lists the vendor’s total cost of sales for the calendar year.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Last 12 Mo Sales: </w:t>
      </w:r>
      <w:r>
        <w:rPr>
          <w:rFonts w:cs="Calibri" w:ascii="Calibri" w:hAnsi="Calibri"/>
          <w:b w:val="false"/>
          <w:sz w:val="22"/>
          <w:szCs w:val="22"/>
        </w:rPr>
        <w:t>This field lists the Vendor’s total sales for the last 12 month period.</w:t>
      </w:r>
      <w:r>
        <w:rPr>
          <w:rFonts w:cs="Calibri" w:ascii="Calibri" w:hAnsi="Calibri"/>
          <w:sz w:val="22"/>
          <w:szCs w:val="22"/>
        </w:rPr>
        <w:t xml:space="preserve"> 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MTD Lost Sales: </w:t>
      </w:r>
      <w:r>
        <w:rPr>
          <w:rFonts w:cs="Calibri" w:ascii="Calibri" w:hAnsi="Calibri"/>
          <w:b w:val="false"/>
          <w:sz w:val="22"/>
          <w:szCs w:val="22"/>
        </w:rPr>
        <w:t>This field lists the value of parts that had lost sales for the month shown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MTD Price Variance: </w:t>
      </w:r>
      <w:r>
        <w:rPr>
          <w:rFonts w:cs="Calibri" w:ascii="Calibri" w:hAnsi="Calibri"/>
          <w:b w:val="false"/>
          <w:sz w:val="22"/>
          <w:szCs w:val="22"/>
        </w:rPr>
        <w:t>This field shows the change in value of the inventory due to running Price Update and Variance.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MTD Bin Trips: </w:t>
      </w:r>
      <w:r>
        <w:rPr>
          <w:rFonts w:cs="Calibri" w:ascii="Calibri" w:hAnsi="Calibri"/>
          <w:b w:val="false"/>
          <w:sz w:val="22"/>
          <w:szCs w:val="22"/>
        </w:rPr>
        <w:t xml:space="preserve">This field shows the number of bin trips for this vendor for the month shown.   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MTD Turn Ratio: </w:t>
      </w:r>
      <w:r>
        <w:rPr>
          <w:rFonts w:cs="Calibri" w:ascii="Calibri" w:hAnsi="Calibri"/>
          <w:b w:val="false"/>
          <w:sz w:val="22"/>
          <w:szCs w:val="22"/>
        </w:rPr>
        <w:t>This field shows the turn ratio for this group of parts for the month shown.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Ven Total Stock Ord $: </w:t>
      </w:r>
      <w:r>
        <w:rPr>
          <w:rFonts w:cs="Calibri" w:ascii="Calibri" w:hAnsi="Calibri"/>
          <w:b w:val="false"/>
          <w:sz w:val="22"/>
          <w:szCs w:val="22"/>
        </w:rPr>
        <w:t>This field shows the value of stock orders received for the vendor.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Ven Tot UnitDown $: </w:t>
      </w:r>
      <w:r>
        <w:rPr>
          <w:rFonts w:cs="Calibri" w:ascii="Calibri" w:hAnsi="Calibri"/>
          <w:b w:val="false"/>
          <w:sz w:val="22"/>
          <w:szCs w:val="22"/>
        </w:rPr>
        <w:t>This field shows the value of unit down orders received for the vendor.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Ven Tot Return $: </w:t>
      </w:r>
      <w:r>
        <w:rPr>
          <w:rFonts w:cs="Calibri" w:ascii="Calibri" w:hAnsi="Calibri"/>
          <w:b w:val="false"/>
          <w:sz w:val="22"/>
          <w:szCs w:val="22"/>
        </w:rPr>
        <w:t>This field shows the value of returns processed for this vendor.</w:t>
      </w:r>
      <w:r>
        <w:rPr>
          <w:rFonts w:cs="Calibri" w:ascii="Calibri" w:hAnsi="Calibri"/>
          <w:sz w:val="22"/>
          <w:szCs w:val="22"/>
        </w:rPr>
        <w:t xml:space="preserve"> 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Total StkOrd Lines: </w:t>
      </w:r>
      <w:r>
        <w:rPr>
          <w:rFonts w:cs="Calibri" w:ascii="Calibri" w:hAnsi="Calibri"/>
          <w:b w:val="false"/>
          <w:sz w:val="22"/>
          <w:szCs w:val="22"/>
        </w:rPr>
        <w:t>This field shows the number of stock order items received for the vendor.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Total UnitDown Lns: </w:t>
      </w:r>
      <w:r>
        <w:rPr>
          <w:rFonts w:cs="Calibri" w:ascii="Calibri" w:hAnsi="Calibri"/>
          <w:b w:val="false"/>
          <w:sz w:val="22"/>
          <w:szCs w:val="22"/>
        </w:rPr>
        <w:t>This field shows the total number of units down items received from this vendor.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Total Return Lines: </w:t>
      </w:r>
      <w:r>
        <w:rPr>
          <w:rFonts w:cs="Calibri" w:ascii="Calibri" w:hAnsi="Calibri"/>
          <w:b w:val="false"/>
          <w:sz w:val="22"/>
          <w:szCs w:val="22"/>
        </w:rPr>
        <w:t>This field shows the total number of items on processed parts returns for this vendor.</w:t>
      </w:r>
    </w:p>
    <w:sectPr>
      <w:headerReference w:type="default" r:id="rId3"/>
      <w:footerReference w:type="default" r:id="rId4"/>
      <w:type w:val="nextPage"/>
      <w:pgSz w:w="12240" w:h="15840"/>
      <w:pgMar w:left="1800" w:right="1800" w:gutter="0" w:header="720" w:top="1440" w:footer="720" w:bottom="1440"/>
      <w:pgNumType w:fmt="decimal"/>
      <w:formProt w:val="false"/>
      <w:textDirection w:val="lrTb"/>
      <w:docGrid w:type="default" w:linePitch="2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Verdana">
    <w:charset w:val="00"/>
    <w:family w:val="swiss"/>
    <w:pitch w:val="variable"/>
  </w:font>
  <w:font w:name="Courier New">
    <w:charset w:val="00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1"/>
    <w:family w:val="swiss"/>
    <w:pitch w:val="variable"/>
  </w:font>
  <w:font w:name="Calibri"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1"/>
      <w:rPr>
        <w:rStyle w:val="PageNumber"/>
        <w:rFonts w:eastAsia="Arial Unicode MS"/>
        <w:i/>
        <w:i/>
      </w:rPr>
    </w:pPr>
    <w:r>
      <w:rPr/>
      <w:t xml:space="preserve">NVRWA011-RWDBF </w:t>
    </w:r>
    <w:r>
      <w:rPr/>
      <w:fldChar w:fldCharType="begin"/>
    </w:r>
    <w:r>
      <w:rPr/>
      <w:instrText xml:space="preserve"> DATE \@"M\/d\/yyyy" </w:instrText>
    </w:r>
    <w:r>
      <w:rPr/>
      <w:fldChar w:fldCharType="separate"/>
    </w:r>
    <w:r>
      <w:rPr/>
      <w:t>1/17/2026</w:t>
    </w:r>
    <w:r>
      <w:rPr/>
      <w:fldChar w:fldCharType="end"/>
    </w:r>
    <w:r>
      <w:rPr/>
      <w:tab/>
    </w:r>
    <w:r>
      <w:rPr>
        <w:b/>
        <w:i w:val="false"/>
        <w:sz w:val="24"/>
      </w:rPr>
      <w:t>A011:</w:t>
    </w:r>
    <w:r>
      <w:rPr>
        <w:rStyle w:val="PageNumber"/>
        <w:i/>
        <w:sz w:val="24"/>
      </w:rPr>
      <w:fldChar w:fldCharType="begin"/>
    </w:r>
    <w:r>
      <w:rPr>
        <w:rStyle w:val="PageNumber"/>
        <w:sz w:val="24"/>
        <w:i/>
      </w:rPr>
      <w:instrText xml:space="preserve"> PAGE </w:instrText>
    </w:r>
    <w:r>
      <w:rPr>
        <w:rStyle w:val="PageNumber"/>
        <w:sz w:val="24"/>
        <w:i/>
      </w:rPr>
      <w:fldChar w:fldCharType="separate"/>
    </w:r>
    <w:r>
      <w:rPr>
        <w:rStyle w:val="PageNumber"/>
        <w:sz w:val="24"/>
        <w:i/>
      </w:rPr>
      <w:t>2</w:t>
    </w:r>
    <w:r>
      <w:rPr>
        <w:rStyle w:val="PageNumber"/>
        <w:sz w:val="24"/>
        <w:i/>
      </w:rPr>
      <w:fldChar w:fldCharType="end"/>
    </w:r>
  </w:p>
  <w:p>
    <w:pPr>
      <w:pStyle w:val="Footer"/>
      <w:rPr/>
    </w:pPr>
    <w:r>
      <w:rPr>
        <w:rStyle w:val="PageNumber"/>
      </w:rPr>
      <w:t>HBS Systems</w:t>
      <w:tab/>
      <w:tab/>
    </w:r>
    <w:r>
      <w:rPr>
        <w:rStyle w:val="PageNumber"/>
        <w:b w:val="false"/>
        <w:bCs/>
        <w:i/>
      </w:rPr>
      <w:t>RWDBF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rStyle w:val="PageNumber"/>
        <w:bCs/>
      </w:rPr>
    </w:pPr>
    <w:r>
      <w:rPr>
        <w:rStyle w:val="PageNumber"/>
        <w:b w:val="false"/>
        <w:bCs/>
      </w:rPr>
      <w:t>Appendix A – Database Files</w:t>
    </w:r>
    <w:r>
      <w:rPr>
        <w:rStyle w:val="PageNumber"/>
        <w:b/>
        <w:bCs/>
      </w:rPr>
      <w:tab/>
      <w:t>Report Writer</w:t>
    </w:r>
  </w:p>
  <w:p>
    <w:pPr>
      <w:pStyle w:val="Header"/>
      <w:rPr/>
    </w:pPr>
    <w:r>
      <w:rPr>
        <w:rStyle w:val="PageNumber"/>
        <w:b/>
        <w:bCs/>
      </w:rPr>
      <w:t xml:space="preserve">Netview 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pStyle w:val="Heading5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none"/>
      <w:suff w:val="nothing"/>
      <w:lvlText w:val="NOTE:  "/>
      <w:lvlJc w:val="left"/>
      <w:pPr>
        <w:tabs>
          <w:tab w:val="num" w:pos="1080"/>
        </w:tabs>
        <w:ind w:left="360" w:hanging="360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i w:val="false"/>
        <w:shadow w:val="false"/>
        <w:b/>
        <w:vanish w:val="false"/>
        <w:rFonts w:ascii="Verdana" w:hAnsi="Verdana" w:cs="Verdana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jc w:val="both"/>
    </w:pPr>
    <w:rPr>
      <w:rFonts w:ascii="Verdana" w:hAnsi="Verdana" w:eastAsia="Times New Roman" w:cs="Verdana"/>
      <w:color w:val="auto"/>
      <w:sz w:val="20"/>
      <w:szCs w:val="24"/>
      <w:lang w:val="en-US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jc w:val="both"/>
      <w:outlineLvl w:val="0"/>
    </w:pPr>
    <w:rPr>
      <w:rFonts w:ascii="Verdana" w:hAnsi="Verdana" w:cs="Verdana"/>
      <w:b/>
      <w:sz w:val="28"/>
    </w:rPr>
  </w:style>
  <w:style w:type="paragraph" w:styleId="Heading2">
    <w:name w:val="heading 2"/>
    <w:basedOn w:val="Normal"/>
    <w:next w:val="Body"/>
    <w:qFormat/>
    <w:pPr>
      <w:keepNext w:val="true"/>
      <w:numPr>
        <w:ilvl w:val="1"/>
        <w:numId w:val="1"/>
      </w:numPr>
      <w:spacing w:before="240" w:after="60"/>
      <w:jc w:val="both"/>
      <w:outlineLvl w:val="1"/>
    </w:pPr>
    <w:rPr>
      <w:rFonts w:ascii="Verdana" w:hAnsi="Verdana" w:cs="Verdana"/>
      <w:b/>
    </w:rPr>
  </w:style>
  <w:style w:type="paragraph" w:styleId="Heading3">
    <w:name w:val="heading 3"/>
    <w:basedOn w:val="Normal"/>
    <w:next w:val="BodyText"/>
    <w:qFormat/>
    <w:pPr>
      <w:keepNext w:val="true"/>
      <w:numPr>
        <w:ilvl w:val="2"/>
        <w:numId w:val="1"/>
      </w:numPr>
      <w:spacing w:before="240" w:after="0"/>
      <w:jc w:val="both"/>
      <w:outlineLvl w:val="2"/>
    </w:pPr>
    <w:rPr>
      <w:rFonts w:ascii="Verdana" w:hAnsi="Verdana" w:cs="Verdana"/>
      <w:b/>
      <w:sz w:val="20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before="240" w:after="0"/>
      <w:ind w:hanging="0" w:left="331" w:right="0"/>
      <w:jc w:val="both"/>
      <w:outlineLvl w:val="3"/>
    </w:pPr>
    <w:rPr>
      <w:rFonts w:ascii="Verdana" w:hAnsi="Verdana" w:cs="Verdana"/>
      <w:b/>
      <w:bCs/>
      <w:sz w:val="20"/>
      <w:szCs w:val="28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0"/>
      <w:ind w:hanging="0" w:left="691" w:right="0"/>
      <w:jc w:val="both"/>
      <w:outlineLvl w:val="4"/>
    </w:pPr>
    <w:rPr>
      <w:rFonts w:ascii="Verdana" w:hAnsi="Verdana" w:cs="Verdana"/>
      <w:b/>
      <w:bCs/>
      <w:iCs/>
      <w:sz w:val="20"/>
      <w:szCs w:val="26"/>
    </w:rPr>
  </w:style>
  <w:style w:type="character" w:styleId="WW8Num1z0">
    <w:name w:val="WW8Num1z0"/>
    <w:qFormat/>
    <w:rPr>
      <w:rFonts w:ascii="Verdana" w:hAnsi="Verdana" w:cs="Verdana"/>
      <w:b/>
      <w:i w:val="false"/>
      <w:caps w:val="false"/>
      <w:smallCaps w:val="false"/>
      <w:strike w:val="false"/>
      <w:dstrike w:val="false"/>
      <w:outline w:val="false"/>
      <w:shadow w:val="false"/>
      <w:vanish w:val="false"/>
      <w:position w:val="0"/>
      <w:sz w:val="20"/>
      <w:sz w:val="20"/>
      <w:vertAlign w:val="baseline"/>
    </w:rPr>
  </w:style>
  <w:style w:type="character" w:styleId="WW8Num3z0">
    <w:name w:val="WW8Num3z0"/>
    <w:qFormat/>
    <w:rPr>
      <w:rFonts w:ascii="Symbol" w:hAnsi="Symbol" w:cs="Symbol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character" w:styleId="PageNumber">
    <w:name w:val="page number"/>
    <w:rPr>
      <w:rFonts w:ascii="Verdana" w:hAnsi="Verdana" w:cs="Verdana"/>
      <w:b/>
      <w:strike w:val="false"/>
      <w:dstrike w:val="false"/>
      <w:position w:val="0"/>
      <w:sz w:val="20"/>
      <w:sz w:val="20"/>
      <w:vertAlign w:val="baselin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next w:val="Body"/>
    <w:pPr>
      <w:jc w:val="both"/>
    </w:pPr>
    <w:rPr>
      <w:rFonts w:ascii="Verdana" w:hAnsi="Verdana" w:cs="Verdana"/>
      <w:sz w:val="20"/>
    </w:rPr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Body">
    <w:name w:val="Body"/>
    <w:basedOn w:val="Normal"/>
    <w:qFormat/>
    <w:pPr>
      <w:spacing w:before="240" w:after="0"/>
      <w:jc w:val="both"/>
    </w:pPr>
    <w:rPr>
      <w:rFonts w:ascii="Verdana" w:hAnsi="Verdana" w:cs="Verdana"/>
      <w:sz w:val="20"/>
    </w:rPr>
  </w:style>
  <w:style w:type="paragraph" w:styleId="Command">
    <w:name w:val="Command"/>
    <w:basedOn w:val="Normal"/>
    <w:qFormat/>
    <w:pPr>
      <w:spacing w:before="240" w:after="0"/>
      <w:ind w:hanging="0" w:left="331" w:right="0"/>
      <w:jc w:val="both"/>
    </w:pPr>
    <w:rPr>
      <w:rFonts w:ascii="Verdana" w:hAnsi="Verdana" w:cs="Verdana"/>
      <w:b/>
      <w:sz w:val="20"/>
    </w:rPr>
  </w:style>
  <w:style w:type="paragraph" w:styleId="Continued">
    <w:name w:val="Continued"/>
    <w:basedOn w:val="Heading2"/>
    <w:qFormat/>
    <w:pPr>
      <w:numPr>
        <w:ilvl w:val="0"/>
        <w:numId w:val="0"/>
      </w:numPr>
      <w:spacing w:before="0" w:after="60"/>
      <w:jc w:val="both"/>
      <w:outlineLvl w:val="9"/>
    </w:pPr>
    <w:rPr>
      <w:rFonts w:ascii="Verdana" w:hAnsi="Verdana" w:cs="Times New Roman"/>
      <w:bCs/>
      <w:i/>
      <w:iCs/>
      <w:sz w:val="24"/>
      <w:szCs w:val="24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  <w:jc w:val="both"/>
    </w:pPr>
    <w:rPr>
      <w:rFonts w:ascii="Verdana" w:hAnsi="Verdana" w:cs="Verdana"/>
      <w:sz w:val="20"/>
    </w:rPr>
  </w:style>
  <w:style w:type="paragraph" w:styleId="Footer1">
    <w:name w:val="Footer 1"/>
    <w:basedOn w:val="Footer"/>
    <w:qFormat/>
    <w:pPr>
      <w:tabs>
        <w:tab w:val="clear" w:pos="4320"/>
        <w:tab w:val="right" w:pos="8640" w:leader="none"/>
      </w:tabs>
    </w:pPr>
    <w:rPr>
      <w:i/>
      <w:sz w:val="16"/>
    </w:rPr>
  </w:style>
  <w:style w:type="paragraph" w:styleId="Header">
    <w:name w:val="header"/>
    <w:basedOn w:val="Normal"/>
    <w:pPr>
      <w:tabs>
        <w:tab w:val="clear" w:pos="720"/>
        <w:tab w:val="right" w:pos="8640" w:leader="none"/>
      </w:tabs>
      <w:jc w:val="both"/>
    </w:pPr>
    <w:rPr>
      <w:rFonts w:ascii="Verdana" w:hAnsi="Verdana" w:cs="Verdana"/>
      <w:b/>
      <w:i/>
      <w:sz w:val="20"/>
    </w:rPr>
  </w:style>
  <w:style w:type="paragraph" w:styleId="Indent">
    <w:name w:val="Indent"/>
    <w:basedOn w:val="Normal"/>
    <w:qFormat/>
    <w:pPr>
      <w:spacing w:before="240" w:after="0"/>
      <w:ind w:hanging="0" w:left="331" w:right="0"/>
      <w:jc w:val="both"/>
    </w:pPr>
    <w:rPr>
      <w:rFonts w:ascii="Verdana" w:hAnsi="Verdana" w:cs="Verdana"/>
      <w:sz w:val="20"/>
    </w:rPr>
  </w:style>
  <w:style w:type="paragraph" w:styleId="IndentText">
    <w:name w:val="Indent Text"/>
    <w:basedOn w:val="Indent"/>
    <w:qFormat/>
    <w:pPr>
      <w:spacing w:before="0" w:after="0"/>
    </w:pPr>
    <w:rPr/>
  </w:style>
  <w:style w:type="paragraph" w:styleId="Indent2">
    <w:name w:val="Indent2"/>
    <w:basedOn w:val="Indent"/>
    <w:qFormat/>
    <w:pPr>
      <w:ind w:hanging="0" w:left="696" w:right="0"/>
    </w:pPr>
    <w:rPr/>
  </w:style>
  <w:style w:type="paragraph" w:styleId="Indent2Text">
    <w:name w:val="Indent2 Text"/>
    <w:basedOn w:val="Indent2"/>
    <w:qFormat/>
    <w:pPr>
      <w:spacing w:before="0" w:after="0"/>
      <w:ind w:hanging="0" w:left="691" w:right="0"/>
    </w:pPr>
    <w:rPr/>
  </w:style>
  <w:style w:type="paragraph" w:styleId="Note">
    <w:name w:val="Note"/>
    <w:basedOn w:val="Normal"/>
    <w:next w:val="Body"/>
    <w:qFormat/>
    <w:pPr>
      <w:numPr>
        <w:ilvl w:val="0"/>
        <w:numId w:val="2"/>
      </w:numPr>
      <w:tabs>
        <w:tab w:val="clear" w:pos="720"/>
        <w:tab w:val="left" w:pos="888" w:leader="none"/>
      </w:tabs>
      <w:spacing w:before="240" w:after="0"/>
      <w:ind w:hanging="0" w:left="0" w:right="0"/>
    </w:pPr>
    <w:rPr/>
  </w:style>
  <w:style w:type="paragraph" w:styleId="Note2">
    <w:name w:val="Note2"/>
    <w:basedOn w:val="Note"/>
    <w:next w:val="Body"/>
    <w:qFormat/>
    <w:pPr>
      <w:numPr>
        <w:ilvl w:val="0"/>
        <w:numId w:val="0"/>
      </w:numPr>
      <w:tabs>
        <w:tab w:val="left" w:pos="888" w:leader="none"/>
        <w:tab w:val="left" w:pos="1248" w:leader="none"/>
      </w:tabs>
      <w:ind w:hanging="0" w:left="360" w:right="0"/>
    </w:pPr>
    <w:rPr/>
  </w:style>
  <w:style w:type="paragraph" w:styleId="Screen">
    <w:name w:val="Screen"/>
    <w:basedOn w:val="Normal"/>
    <w:qFormat/>
    <w:pPr>
      <w:jc w:val="left"/>
    </w:pPr>
    <w:rPr>
      <w:rFonts w:ascii="Courier New" w:hAnsi="Courier New" w:cs="Courier New"/>
      <w:b/>
      <w:sz w:val="18"/>
    </w:rPr>
  </w:style>
  <w:style w:type="paragraph" w:styleId="TOC1">
    <w:name w:val="toc 1"/>
    <w:basedOn w:val="Normal"/>
    <w:pPr>
      <w:tabs>
        <w:tab w:val="clear" w:pos="720"/>
        <w:tab w:val="right" w:pos="8640" w:leader="dot"/>
      </w:tabs>
      <w:spacing w:before="180" w:after="120"/>
    </w:pPr>
    <w:rPr>
      <w:b/>
    </w:rPr>
  </w:style>
  <w:style w:type="paragraph" w:styleId="TOC2">
    <w:name w:val="toc 2"/>
    <w:basedOn w:val="Normal"/>
    <w:pPr>
      <w:tabs>
        <w:tab w:val="clear" w:pos="720"/>
        <w:tab w:val="right" w:pos="8640" w:leader="dot"/>
      </w:tabs>
      <w:ind w:hanging="0" w:left="200" w:right="0"/>
    </w:pPr>
    <w:rPr/>
  </w:style>
  <w:style w:type="paragraph" w:styleId="TOCBase">
    <w:name w:val="TOC Base"/>
    <w:basedOn w:val="Heading2"/>
    <w:next w:val="TOC1"/>
    <w:qFormat/>
    <w:pPr>
      <w:numPr>
        <w:ilvl w:val="0"/>
        <w:numId w:val="0"/>
      </w:numPr>
      <w:tabs>
        <w:tab w:val="clear" w:pos="720"/>
        <w:tab w:val="right" w:pos="8640" w:leader="none"/>
      </w:tabs>
      <w:spacing w:before="0" w:after="0"/>
      <w:outlineLvl w:val="9"/>
    </w:pPr>
    <w:rPr>
      <w:sz w:val="24"/>
      <w:u w:val="single"/>
    </w:rPr>
  </w:style>
  <w:style w:type="paragraph" w:styleId="TOC3">
    <w:name w:val="TOC3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2015-10-15T18:56:00Z</dcterms:created>
  <dc:creator>sdavis</dc:creator>
  <dc:description/>
  <cp:keywords/>
  <dc:language>en-US</dc:language>
  <cp:lastModifiedBy>Shelby Lund</cp:lastModifiedBy>
  <cp:lastPrinted>2009-02-19T14:45:00Z</cp:lastPrinted>
  <dcterms:modified xsi:type="dcterms:W3CDTF">2015-10-15T19:19:00Z</dcterms:modified>
  <cp:revision>3</cp:revision>
  <dc:subject/>
  <dc:title>Parts Month End Total File   Chapter 11</dc:title>
</cp:coreProperties>
</file>