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"/>
        <w:spacing w:before="120" w:after="0"/>
        <w:jc w:val="left"/>
        <w:rPr/>
      </w:pPr>
      <w:r>
        <w:rPr>
          <w:rFonts w:cs="Calibri" w:ascii="Calibri" w:hAnsi="Calibri"/>
          <w:b/>
          <w:bCs/>
          <w:sz w:val="28"/>
          <w:szCs w:val="28"/>
        </w:rPr>
        <w:t xml:space="preserve">Accounts Receivable Open Invoices: </w:t>
      </w:r>
      <w:r>
        <w:rPr>
          <w:rFonts w:cs="Calibri" w:ascii="Calibri" w:hAnsi="Calibri"/>
          <w:sz w:val="22"/>
          <w:szCs w:val="22"/>
        </w:rPr>
        <w:t>This file pulls data from the Accounts Receivable Open Invoices file.</w:t>
      </w:r>
    </w:p>
    <w:p>
      <w:pPr>
        <w:pStyle w:val="Body"/>
        <w:spacing w:before="120" w:after="0"/>
        <w:jc w:val="left"/>
        <w:rPr>
          <w:rFonts w:ascii="Calibri" w:hAnsi="Calibri" w:cs="Calibri"/>
          <w:b/>
          <w:bCs/>
          <w:sz w:val="28"/>
          <w:szCs w:val="28"/>
        </w:rPr>
      </w:pPr>
      <w:r>
        <w:rPr>
          <w:rFonts w:cs="Calibri" w:ascii="Calibri" w:hAnsi="Calibri"/>
          <w:b/>
          <w:bCs/>
          <w:sz w:val="28"/>
          <w:szCs w:val="28"/>
        </w:rPr>
      </w:r>
    </w:p>
    <w:p>
      <w:pPr>
        <w:pStyle w:val="Body"/>
        <w:spacing w:before="120" w:after="0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drawing>
          <wp:inline distT="0" distB="0" distL="0" distR="0">
            <wp:extent cx="4038600" cy="2886075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" t="-12" r="-9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2886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"/>
        <w:spacing w:before="120" w:after="0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Flag: </w:t>
      </w:r>
      <w:r>
        <w:rPr>
          <w:rFonts w:cs="Calibri" w:ascii="Calibri" w:hAnsi="Calibri"/>
          <w:b w:val="false"/>
          <w:sz w:val="22"/>
          <w:szCs w:val="22"/>
        </w:rPr>
        <w:t>This field is reserved for future use.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Cust #: </w:t>
      </w:r>
      <w:r>
        <w:rPr>
          <w:rFonts w:cs="Calibri" w:ascii="Calibri" w:hAnsi="Calibri"/>
          <w:b w:val="false"/>
          <w:sz w:val="22"/>
          <w:szCs w:val="22"/>
        </w:rPr>
        <w:t xml:space="preserve">This field holds the unique five-digit number for this customer.   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Invc: </w:t>
      </w:r>
      <w:r>
        <w:rPr>
          <w:rFonts w:cs="Calibri" w:ascii="Calibri" w:hAnsi="Calibri"/>
          <w:b w:val="false"/>
          <w:spacing w:val="-3"/>
          <w:sz w:val="22"/>
          <w:szCs w:val="22"/>
        </w:rPr>
        <w:t>This field shows the invoice number on the customer’s account.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Pmt #: </w:t>
      </w:r>
      <w:r>
        <w:rPr>
          <w:rFonts w:cs="Calibri" w:ascii="Calibri" w:hAnsi="Calibri"/>
          <w:b w:val="false"/>
          <w:sz w:val="22"/>
          <w:szCs w:val="22"/>
        </w:rPr>
        <w:t>If there has been a payment on this invoice, this field shows the reference number for that payment.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Ldg #: </w:t>
      </w:r>
      <w:r>
        <w:rPr>
          <w:rFonts w:cs="Calibri" w:ascii="Calibri" w:hAnsi="Calibri"/>
          <w:b w:val="false"/>
          <w:sz w:val="22"/>
          <w:szCs w:val="22"/>
        </w:rPr>
        <w:t>This field shows the general ledger account affected by the transaction.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Date: </w:t>
      </w:r>
      <w:r>
        <w:rPr>
          <w:rFonts w:cs="Calibri" w:ascii="Calibri" w:hAnsi="Calibri"/>
          <w:b w:val="false"/>
          <w:sz w:val="22"/>
          <w:szCs w:val="22"/>
        </w:rPr>
        <w:t>This field shows the date of the transaction.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Amount: </w:t>
      </w:r>
      <w:r>
        <w:rPr>
          <w:rFonts w:cs="Calibri" w:ascii="Calibri" w:hAnsi="Calibri"/>
          <w:b w:val="false"/>
          <w:sz w:val="22"/>
          <w:szCs w:val="22"/>
        </w:rPr>
        <w:t>This field shows the amount of the transaction.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Disc Amt: </w:t>
      </w:r>
      <w:r>
        <w:rPr>
          <w:rFonts w:cs="Calibri" w:ascii="Calibri" w:hAnsi="Calibri"/>
          <w:b w:val="false"/>
          <w:sz w:val="22"/>
          <w:szCs w:val="22"/>
        </w:rPr>
        <w:t>This field is reserved for future use.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Disc Date: </w:t>
      </w:r>
      <w:r>
        <w:rPr>
          <w:rFonts w:cs="Calibri" w:ascii="Calibri" w:hAnsi="Calibri"/>
          <w:b w:val="false"/>
          <w:sz w:val="22"/>
          <w:szCs w:val="22"/>
        </w:rPr>
        <w:t>This field is reserved for future use.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Sls: </w:t>
      </w:r>
      <w:r>
        <w:rPr>
          <w:rFonts w:cs="Calibri" w:ascii="Calibri" w:hAnsi="Calibri"/>
          <w:b w:val="false"/>
          <w:sz w:val="22"/>
          <w:szCs w:val="22"/>
        </w:rPr>
        <w:t>This field may show the salesman’s initials.</w:t>
      </w:r>
      <w:r>
        <w:rPr>
          <w:rFonts w:cs="Calibri" w:ascii="Calibri" w:hAnsi="Calibri"/>
          <w:sz w:val="22"/>
          <w:szCs w:val="22"/>
          <w:lang w:val="en-US" w:eastAsia="en-US"/>
        </w:rPr>
        <w:t xml:space="preserve"> 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JN: </w:t>
      </w:r>
      <w:r>
        <w:rPr>
          <w:rFonts w:cs="Calibri" w:ascii="Calibri" w:hAnsi="Calibri"/>
          <w:b w:val="false"/>
          <w:sz w:val="22"/>
          <w:szCs w:val="22"/>
        </w:rPr>
        <w:t>This field shows the journal where the transaction was processed.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Due Date: </w:t>
      </w:r>
      <w:r>
        <w:rPr>
          <w:rFonts w:cs="Calibri" w:ascii="Calibri" w:hAnsi="Calibri"/>
          <w:b w:val="false"/>
          <w:sz w:val="22"/>
          <w:szCs w:val="22"/>
        </w:rPr>
        <w:t>If the transaction was processed as future billing, then this field shows the due dat</w:t>
      </w:r>
      <w:r>
        <w:rPr>
          <w:b w:val="false"/>
        </w:rPr>
        <w:t>e.</w:t>
      </w:r>
    </w:p>
    <w:sectPr>
      <w:headerReference w:type="default" r:id="rId3"/>
      <w:footerReference w:type="default" r:id="rId4"/>
      <w:type w:val="nextPage"/>
      <w:pgSz w:w="12240" w:h="15840"/>
      <w:pgMar w:left="1800" w:right="1800" w:gutter="0" w:header="720" w:top="1440" w:footer="720" w:bottom="1440"/>
      <w:pgNumType w:fmt="decimal"/>
      <w:formProt w:val="false"/>
      <w:textDirection w:val="lrTb"/>
      <w:docGrid w:type="default" w:linePitch="2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Verdana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Calibri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1"/>
      <w:rPr>
        <w:rStyle w:val="PageNumber"/>
        <w:rFonts w:eastAsia="Arial Unicode MS"/>
        <w:i/>
        <w:i/>
      </w:rPr>
    </w:pPr>
    <w:r>
      <w:rPr/>
      <w:t xml:space="preserve">NVRWA015-RWDBF </w:t>
    </w:r>
    <w:r>
      <w:rPr/>
      <w:fldChar w:fldCharType="begin"/>
    </w:r>
    <w:r>
      <w:rPr/>
      <w:instrText xml:space="preserve"> DATE \@"M\/d\/yyyy" </w:instrText>
    </w:r>
    <w:r>
      <w:rPr/>
      <w:fldChar w:fldCharType="separate"/>
    </w:r>
    <w:r>
      <w:rPr/>
      <w:t>1/17/2026</w:t>
    </w:r>
    <w:r>
      <w:rPr/>
      <w:fldChar w:fldCharType="end"/>
    </w:r>
    <w:r>
      <w:rPr/>
      <w:tab/>
    </w:r>
    <w:r>
      <w:rPr>
        <w:b/>
        <w:i w:val="false"/>
        <w:sz w:val="24"/>
      </w:rPr>
      <w:t>A015:</w:t>
    </w:r>
    <w:r>
      <w:rPr>
        <w:rStyle w:val="PageNumber"/>
        <w:i/>
        <w:sz w:val="24"/>
      </w:rPr>
      <w:fldChar w:fldCharType="begin"/>
    </w:r>
    <w:r>
      <w:rPr>
        <w:rStyle w:val="PageNumber"/>
        <w:sz w:val="24"/>
        <w:i/>
      </w:rPr>
      <w:instrText xml:space="preserve"> PAGE </w:instrText>
    </w:r>
    <w:r>
      <w:rPr>
        <w:rStyle w:val="PageNumber"/>
        <w:sz w:val="24"/>
        <w:i/>
      </w:rPr>
      <w:fldChar w:fldCharType="separate"/>
    </w:r>
    <w:r>
      <w:rPr>
        <w:rStyle w:val="PageNumber"/>
        <w:sz w:val="24"/>
        <w:i/>
      </w:rPr>
      <w:t>1</w:t>
    </w:r>
    <w:r>
      <w:rPr>
        <w:rStyle w:val="PageNumber"/>
        <w:sz w:val="24"/>
        <w:i/>
      </w:rPr>
      <w:fldChar w:fldCharType="end"/>
    </w:r>
  </w:p>
  <w:p>
    <w:pPr>
      <w:pStyle w:val="Footer"/>
      <w:rPr/>
    </w:pPr>
    <w:r>
      <w:rPr>
        <w:rStyle w:val="PageNumber"/>
      </w:rPr>
      <w:t>HBS Systems</w:t>
      <w:tab/>
      <w:tab/>
    </w:r>
    <w:r>
      <w:rPr>
        <w:rStyle w:val="PageNumber"/>
        <w:b w:val="false"/>
        <w:i/>
      </w:rPr>
      <w:t>RWDBF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Style w:val="PageNumber"/>
        <w:b w:val="false"/>
        <w:bCs/>
      </w:rPr>
      <w:t>Appendix A – Database Files</w:t>
    </w:r>
    <w:r>
      <w:rPr>
        <w:rStyle w:val="PageNumber"/>
        <w:b/>
        <w:bCs/>
      </w:rPr>
      <w:tab/>
      <w:t>Report Writer</w:t>
    </w:r>
  </w:p>
  <w:p>
    <w:pPr>
      <w:pStyle w:val="Header"/>
      <w:rPr/>
    </w:pPr>
    <w:r>
      <w:rPr>
        <w:rStyle w:val="PageNumber"/>
        <w:b/>
        <w:bCs/>
      </w:rPr>
      <w:t>Netview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NOTE:  "/>
      <w:lvlJc w:val="left"/>
      <w:pPr>
        <w:tabs>
          <w:tab w:val="num" w:pos="1080"/>
        </w:tabs>
        <w:ind w:left="36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b/>
        <w:vanish w:val="false"/>
        <w:rFonts w:ascii="Verdana" w:hAnsi="Verdana" w:cs="Verdana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jc w:val="both"/>
    </w:pPr>
    <w:rPr>
      <w:rFonts w:ascii="Verdana" w:hAnsi="Verdana" w:eastAsia="Times New Roman" w:cs="Verdana"/>
      <w:color w:val="auto"/>
      <w:sz w:val="20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rFonts w:ascii="Verdana" w:hAnsi="Verdana" w:cs="Verdana"/>
      <w:b/>
      <w:sz w:val="28"/>
    </w:rPr>
  </w:style>
  <w:style w:type="paragraph" w:styleId="Heading2">
    <w:name w:val="heading 2"/>
    <w:basedOn w:val="Normal"/>
    <w:next w:val="Body"/>
    <w:qFormat/>
    <w:pPr>
      <w:keepNext w:val="true"/>
      <w:numPr>
        <w:ilvl w:val="1"/>
        <w:numId w:val="1"/>
      </w:numPr>
      <w:spacing w:before="240" w:after="60"/>
      <w:jc w:val="both"/>
      <w:outlineLvl w:val="1"/>
    </w:pPr>
    <w:rPr>
      <w:rFonts w:ascii="Verdana" w:hAnsi="Verdana" w:cs="Verdana"/>
      <w:b/>
    </w:rPr>
  </w:style>
  <w:style w:type="paragraph" w:styleId="Heading3">
    <w:name w:val="heading 3"/>
    <w:basedOn w:val="Normal"/>
    <w:next w:val="BodyText"/>
    <w:qFormat/>
    <w:pPr>
      <w:keepNext w:val="true"/>
      <w:numPr>
        <w:ilvl w:val="2"/>
        <w:numId w:val="1"/>
      </w:numPr>
      <w:spacing w:before="240" w:after="0"/>
      <w:jc w:val="both"/>
      <w:outlineLvl w:val="2"/>
    </w:pPr>
    <w:rPr>
      <w:rFonts w:ascii="Verdana" w:hAnsi="Verdana" w:cs="Verdana"/>
      <w:b/>
      <w:sz w:val="20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0"/>
      <w:ind w:hanging="0" w:left="331" w:right="0"/>
      <w:jc w:val="both"/>
      <w:outlineLvl w:val="3"/>
    </w:pPr>
    <w:rPr>
      <w:rFonts w:ascii="Verdana" w:hAnsi="Verdana" w:cs="Verdana"/>
      <w:b/>
      <w:bCs/>
      <w:sz w:val="20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0"/>
      <w:ind w:hanging="0" w:left="691" w:right="0"/>
      <w:jc w:val="both"/>
      <w:outlineLvl w:val="4"/>
    </w:pPr>
    <w:rPr>
      <w:rFonts w:ascii="Verdana" w:hAnsi="Verdana" w:cs="Verdana"/>
      <w:b/>
      <w:bCs/>
      <w:iCs/>
      <w:sz w:val="20"/>
      <w:szCs w:val="26"/>
    </w:rPr>
  </w:style>
  <w:style w:type="character" w:styleId="WW8Num1z0">
    <w:name w:val="WW8Num1z0"/>
    <w:qFormat/>
    <w:rPr>
      <w:rFonts w:ascii="Verdana" w:hAnsi="Verdana" w:cs="Verdana"/>
      <w:b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vertAlign w:val="baseline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PageNumber">
    <w:name w:val="page number"/>
    <w:rPr>
      <w:rFonts w:ascii="Verdana" w:hAnsi="Verdana" w:cs="Verdana"/>
      <w:b/>
      <w:strike w:val="false"/>
      <w:dstrike w:val="false"/>
      <w:position w:val="0"/>
      <w:sz w:val="20"/>
      <w:sz w:val="20"/>
      <w:vertAlign w:val="baseli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next w:val="Body"/>
    <w:pPr>
      <w:jc w:val="both"/>
    </w:pPr>
    <w:rPr>
      <w:rFonts w:ascii="Verdana" w:hAnsi="Verdana" w:cs="Verdana"/>
      <w:sz w:val="20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Body">
    <w:name w:val="Body"/>
    <w:basedOn w:val="Normal"/>
    <w:qFormat/>
    <w:pPr>
      <w:spacing w:before="240" w:after="0"/>
      <w:jc w:val="both"/>
    </w:pPr>
    <w:rPr>
      <w:rFonts w:ascii="Verdana" w:hAnsi="Verdana" w:cs="Verdana"/>
      <w:sz w:val="20"/>
    </w:rPr>
  </w:style>
  <w:style w:type="paragraph" w:styleId="Command">
    <w:name w:val="Command"/>
    <w:basedOn w:val="Normal"/>
    <w:qFormat/>
    <w:pPr>
      <w:spacing w:before="240" w:after="0"/>
      <w:ind w:hanging="0" w:left="331" w:right="0"/>
      <w:jc w:val="both"/>
    </w:pPr>
    <w:rPr>
      <w:rFonts w:ascii="Verdana" w:hAnsi="Verdana" w:cs="Verdana"/>
      <w:b/>
      <w:sz w:val="20"/>
    </w:rPr>
  </w:style>
  <w:style w:type="paragraph" w:styleId="Continued">
    <w:name w:val="Continued"/>
    <w:basedOn w:val="Heading2"/>
    <w:qFormat/>
    <w:pPr>
      <w:numPr>
        <w:ilvl w:val="0"/>
        <w:numId w:val="0"/>
      </w:numPr>
      <w:spacing w:before="0" w:after="60"/>
      <w:jc w:val="both"/>
      <w:outlineLvl w:val="9"/>
    </w:pPr>
    <w:rPr>
      <w:rFonts w:ascii="Verdana" w:hAnsi="Verdana" w:cs="Times New Roman"/>
      <w:bCs/>
      <w:i/>
      <w:i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  <w:jc w:val="both"/>
    </w:pPr>
    <w:rPr>
      <w:rFonts w:ascii="Verdana" w:hAnsi="Verdana" w:cs="Verdana"/>
      <w:sz w:val="20"/>
    </w:rPr>
  </w:style>
  <w:style w:type="paragraph" w:styleId="Footer1">
    <w:name w:val="Footer 1"/>
    <w:basedOn w:val="Footer"/>
    <w:qFormat/>
    <w:pPr>
      <w:tabs>
        <w:tab w:val="clear" w:pos="4320"/>
        <w:tab w:val="right" w:pos="8640" w:leader="none"/>
      </w:tabs>
    </w:pPr>
    <w:rPr>
      <w:i/>
      <w:sz w:val="16"/>
    </w:rPr>
  </w:style>
  <w:style w:type="paragraph" w:styleId="Header">
    <w:name w:val="header"/>
    <w:basedOn w:val="Normal"/>
    <w:pPr>
      <w:tabs>
        <w:tab w:val="clear" w:pos="720"/>
        <w:tab w:val="right" w:pos="8640" w:leader="none"/>
      </w:tabs>
      <w:jc w:val="both"/>
    </w:pPr>
    <w:rPr>
      <w:rFonts w:ascii="Verdana" w:hAnsi="Verdana" w:cs="Verdana"/>
      <w:b/>
      <w:i/>
      <w:sz w:val="20"/>
    </w:rPr>
  </w:style>
  <w:style w:type="paragraph" w:styleId="Indent">
    <w:name w:val="Indent"/>
    <w:basedOn w:val="Normal"/>
    <w:qFormat/>
    <w:pPr>
      <w:spacing w:before="240" w:after="0"/>
      <w:ind w:hanging="0" w:left="331" w:right="0"/>
      <w:jc w:val="both"/>
    </w:pPr>
    <w:rPr>
      <w:rFonts w:ascii="Verdana" w:hAnsi="Verdana" w:cs="Verdana"/>
      <w:sz w:val="20"/>
    </w:rPr>
  </w:style>
  <w:style w:type="paragraph" w:styleId="IndentText">
    <w:name w:val="Indent Text"/>
    <w:basedOn w:val="Indent"/>
    <w:qFormat/>
    <w:pPr>
      <w:spacing w:before="0" w:after="0"/>
    </w:pPr>
    <w:rPr/>
  </w:style>
  <w:style w:type="paragraph" w:styleId="Indent2">
    <w:name w:val="Indent2"/>
    <w:basedOn w:val="Indent"/>
    <w:qFormat/>
    <w:pPr>
      <w:ind w:hanging="0" w:left="696" w:right="0"/>
    </w:pPr>
    <w:rPr/>
  </w:style>
  <w:style w:type="paragraph" w:styleId="Indent2Text">
    <w:name w:val="Indent2 Text"/>
    <w:basedOn w:val="Indent2"/>
    <w:qFormat/>
    <w:pPr>
      <w:spacing w:before="0" w:after="0"/>
      <w:ind w:hanging="0" w:left="691" w:right="0"/>
    </w:pPr>
    <w:rPr/>
  </w:style>
  <w:style w:type="paragraph" w:styleId="Note">
    <w:name w:val="Note"/>
    <w:basedOn w:val="Normal"/>
    <w:next w:val="Body"/>
    <w:qFormat/>
    <w:pPr>
      <w:numPr>
        <w:ilvl w:val="0"/>
        <w:numId w:val="2"/>
      </w:numPr>
      <w:tabs>
        <w:tab w:val="clear" w:pos="720"/>
        <w:tab w:val="left" w:pos="888" w:leader="none"/>
      </w:tabs>
      <w:spacing w:before="240" w:after="0"/>
      <w:ind w:hanging="0" w:left="0" w:right="0"/>
    </w:pPr>
    <w:rPr/>
  </w:style>
  <w:style w:type="paragraph" w:styleId="Note2">
    <w:name w:val="Note2"/>
    <w:basedOn w:val="Note"/>
    <w:next w:val="Body"/>
    <w:qFormat/>
    <w:pPr>
      <w:numPr>
        <w:ilvl w:val="0"/>
        <w:numId w:val="0"/>
      </w:numPr>
      <w:tabs>
        <w:tab w:val="left" w:pos="888" w:leader="none"/>
        <w:tab w:val="left" w:pos="1248" w:leader="none"/>
      </w:tabs>
      <w:ind w:hanging="0" w:left="360" w:right="0"/>
    </w:pPr>
    <w:rPr/>
  </w:style>
  <w:style w:type="paragraph" w:styleId="Screen">
    <w:name w:val="Screen"/>
    <w:basedOn w:val="Normal"/>
    <w:qFormat/>
    <w:pPr>
      <w:jc w:val="left"/>
    </w:pPr>
    <w:rPr>
      <w:rFonts w:ascii="Courier New" w:hAnsi="Courier New" w:cs="Courier New"/>
      <w:b/>
      <w:sz w:val="18"/>
    </w:rPr>
  </w:style>
  <w:style w:type="paragraph" w:styleId="TOC1">
    <w:name w:val="toc 1"/>
    <w:basedOn w:val="Normal"/>
    <w:pPr>
      <w:tabs>
        <w:tab w:val="clear" w:pos="720"/>
        <w:tab w:val="right" w:pos="8640" w:leader="dot"/>
      </w:tabs>
      <w:spacing w:before="180" w:after="120"/>
    </w:pPr>
    <w:rPr>
      <w:b/>
    </w:rPr>
  </w:style>
  <w:style w:type="paragraph" w:styleId="TOC2">
    <w:name w:val="toc 2"/>
    <w:basedOn w:val="Normal"/>
    <w:pPr>
      <w:tabs>
        <w:tab w:val="clear" w:pos="720"/>
        <w:tab w:val="right" w:pos="8640" w:leader="dot"/>
      </w:tabs>
      <w:ind w:hanging="0" w:left="200" w:right="0"/>
    </w:pPr>
    <w:rPr/>
  </w:style>
  <w:style w:type="paragraph" w:styleId="TOCBase">
    <w:name w:val="TOC Base"/>
    <w:basedOn w:val="Heading2"/>
    <w:next w:val="TOC1"/>
    <w:qFormat/>
    <w:pPr>
      <w:numPr>
        <w:ilvl w:val="0"/>
        <w:numId w:val="0"/>
      </w:numPr>
      <w:tabs>
        <w:tab w:val="clear" w:pos="720"/>
        <w:tab w:val="right" w:pos="8640" w:leader="none"/>
      </w:tabs>
      <w:spacing w:before="0" w:after="0"/>
      <w:outlineLvl w:val="9"/>
    </w:pPr>
    <w:rPr>
      <w:sz w:val="24"/>
      <w:u w:val="single"/>
    </w:rPr>
  </w:style>
  <w:style w:type="paragraph" w:styleId="TOC3">
    <w:name w:val="TOC3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2015-10-15T20:20:00Z</dcterms:created>
  <dc:creator>sdavis</dc:creator>
  <dc:description/>
  <cp:keywords/>
  <dc:language>en-US</dc:language>
  <cp:lastModifiedBy>Shelby Lund</cp:lastModifiedBy>
  <dcterms:modified xsi:type="dcterms:W3CDTF">2015-10-15T20:53:00Z</dcterms:modified>
  <cp:revision>3</cp:revision>
  <dc:subject/>
  <dc:title>Accounts Receivable Open Invoices</dc:title>
</cp:coreProperties>
</file>