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keepNext w:val="false"/>
        <w:spacing w:before="120" w:after="60"/>
        <w:ind w:hanging="0" w:left="0"/>
        <w:rPr>
          <w:rFonts w:ascii="Calibri" w:hAnsi="Calibri" w:cs="Calibri"/>
          <w:b w:val="false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 xml:space="preserve">Accounts Receivable Ship To Addresses: </w:t>
      </w:r>
      <w:r>
        <w:rPr>
          <w:rFonts w:cs="Calibri" w:ascii="Calibri" w:hAnsi="Calibri"/>
          <w:b w:val="false"/>
          <w:sz w:val="22"/>
          <w:szCs w:val="22"/>
        </w:rPr>
        <w:t>This file pulls data from the A/R Ship To Addresses File.</w:t>
      </w:r>
    </w:p>
    <w:p>
      <w:pPr>
        <w:pStyle w:val="Body"/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</w:r>
    </w:p>
    <w:p>
      <w:pPr>
        <w:pStyle w:val="Heading2"/>
        <w:keepNext w:val="false"/>
        <w:spacing w:before="120" w:after="60"/>
        <w:ind w:hanging="0" w:left="0"/>
        <w:jc w:val="center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drawing>
          <wp:inline distT="0" distB="0" distL="0" distR="0">
            <wp:extent cx="3981450" cy="289560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" t="-12" r="-9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289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"/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Cust #: </w:t>
      </w:r>
      <w:r>
        <w:rPr>
          <w:rFonts w:cs="Calibri" w:ascii="Calibri" w:hAnsi="Calibri"/>
          <w:b w:val="false"/>
          <w:sz w:val="22"/>
          <w:szCs w:val="22"/>
        </w:rPr>
        <w:t>This field holds the unique five-digit number for this customer.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Sequence #: </w:t>
      </w:r>
      <w:r>
        <w:rPr>
          <w:rFonts w:cs="Calibri" w:ascii="Calibri" w:hAnsi="Calibri"/>
          <w:b w:val="false"/>
          <w:sz w:val="22"/>
          <w:szCs w:val="22"/>
        </w:rPr>
        <w:t>This field shows the record number of the ship to address.  0 is for the first record, 1 is for the second, etc.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Ship To Name: </w:t>
      </w:r>
      <w:r>
        <w:rPr>
          <w:rFonts w:cs="Calibri" w:ascii="Calibri" w:hAnsi="Calibri"/>
          <w:b w:val="false"/>
          <w:sz w:val="22"/>
          <w:szCs w:val="22"/>
        </w:rPr>
        <w:t>This field holds the name for the ship to address.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Ship To Address: </w:t>
      </w:r>
      <w:r>
        <w:rPr>
          <w:rFonts w:cs="Calibri" w:ascii="Calibri" w:hAnsi="Calibri"/>
          <w:b w:val="false"/>
          <w:sz w:val="22"/>
          <w:szCs w:val="22"/>
        </w:rPr>
        <w:t>This field holds the address.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Address Line 2: </w:t>
      </w:r>
      <w:r>
        <w:rPr>
          <w:rFonts w:cs="Calibri" w:ascii="Calibri" w:hAnsi="Calibri"/>
          <w:b w:val="false"/>
          <w:sz w:val="22"/>
          <w:szCs w:val="22"/>
        </w:rPr>
        <w:t>This field provides an additional line for the ship to address</w:t>
      </w:r>
      <w:r>
        <w:rPr>
          <w:rFonts w:cs="Calibri" w:ascii="Calibri" w:hAnsi="Calibri"/>
          <w:sz w:val="22"/>
          <w:szCs w:val="22"/>
        </w:rPr>
        <w:t>.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City: </w:t>
      </w:r>
      <w:r>
        <w:rPr>
          <w:rFonts w:cs="Calibri" w:ascii="Calibri" w:hAnsi="Calibri"/>
          <w:b w:val="false"/>
          <w:sz w:val="22"/>
          <w:szCs w:val="22"/>
        </w:rPr>
        <w:t>This field holds the city.</w:t>
      </w:r>
      <w:r>
        <w:rPr>
          <w:rFonts w:cs="Calibri" w:ascii="Calibri" w:hAnsi="Calibri"/>
          <w:sz w:val="22"/>
          <w:szCs w:val="22"/>
        </w:rPr>
        <w:t xml:space="preserve">  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County: </w:t>
      </w:r>
      <w:r>
        <w:rPr>
          <w:rFonts w:cs="Calibri" w:ascii="Calibri" w:hAnsi="Calibri"/>
          <w:b w:val="false"/>
          <w:sz w:val="22"/>
          <w:szCs w:val="22"/>
        </w:rPr>
        <w:t>This field holds the county where the customer receives their shipments.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State: </w:t>
      </w:r>
      <w:r>
        <w:rPr>
          <w:rFonts w:cs="Calibri" w:ascii="Calibri" w:hAnsi="Calibri"/>
          <w:b w:val="false"/>
          <w:sz w:val="22"/>
          <w:szCs w:val="22"/>
        </w:rPr>
        <w:t>This field holds the state where the customer receives their shipments.</w:t>
      </w:r>
    </w:p>
    <w:p>
      <w:pPr>
        <w:pStyle w:val="Body"/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Heading2"/>
        <w:keepNext w:val="false"/>
        <w:spacing w:before="120" w:after="60"/>
        <w:ind w:hanging="0" w:left="0"/>
        <w:jc w:val="center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drawing>
          <wp:inline distT="0" distB="0" distL="0" distR="0">
            <wp:extent cx="4019550" cy="2886075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9" t="-12" r="-9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2886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Country: </w:t>
      </w:r>
      <w:r>
        <w:rPr>
          <w:rFonts w:cs="Calibri" w:ascii="Calibri" w:hAnsi="Calibri"/>
          <w:b w:val="false"/>
          <w:sz w:val="22"/>
          <w:szCs w:val="22"/>
        </w:rPr>
        <w:t>This field holds the country where the customer receives their shipments.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Zip/Postal Code: </w:t>
      </w:r>
      <w:r>
        <w:rPr>
          <w:rFonts w:cs="Calibri" w:ascii="Calibri" w:hAnsi="Calibri"/>
          <w:b w:val="false"/>
          <w:sz w:val="22"/>
          <w:szCs w:val="22"/>
        </w:rPr>
        <w:t>This field holds the zip code or postal code for the shipping address.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Comment Line 1: </w:t>
      </w:r>
      <w:r>
        <w:rPr>
          <w:rFonts w:cs="Calibri" w:ascii="Calibri" w:hAnsi="Calibri"/>
          <w:b w:val="false"/>
          <w:sz w:val="22"/>
          <w:szCs w:val="22"/>
        </w:rPr>
        <w:t>This field holds comments about this address, like additional information or special shipping instructions.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Comment Line 2: </w:t>
      </w:r>
      <w:r>
        <w:rPr>
          <w:rFonts w:cs="Calibri" w:ascii="Calibri" w:hAnsi="Calibri"/>
          <w:b w:val="false"/>
          <w:sz w:val="22"/>
          <w:szCs w:val="22"/>
        </w:rPr>
        <w:t>This field holds comments about this address, like additional information or special shipping instructions.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Tax Code For Ship: </w:t>
      </w:r>
      <w:r>
        <w:rPr>
          <w:rFonts w:cs="Calibri" w:ascii="Calibri" w:hAnsi="Calibri"/>
          <w:b w:val="false"/>
          <w:sz w:val="22"/>
          <w:szCs w:val="22"/>
        </w:rPr>
        <w:t xml:space="preserve">This field holds the primary or typical tax code for this ship to address.   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Sales Code Front: </w:t>
      </w:r>
      <w:r>
        <w:rPr>
          <w:rFonts w:cs="Calibri" w:ascii="Calibri" w:hAnsi="Calibri"/>
          <w:b w:val="false"/>
          <w:sz w:val="22"/>
          <w:szCs w:val="22"/>
        </w:rPr>
        <w:t>This field holds the default sales code used when the customer at this ship to address makes purchases at the Parts Counter.</w:t>
      </w:r>
      <w:r>
        <w:rPr>
          <w:rFonts w:cs="Calibri" w:ascii="Calibri" w:hAnsi="Calibri"/>
          <w:sz w:val="22"/>
          <w:szCs w:val="22"/>
        </w:rPr>
        <w:t xml:space="preserve">   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Sales Code Back: </w:t>
      </w:r>
      <w:r>
        <w:rPr>
          <w:rFonts w:cs="Calibri" w:ascii="Calibri" w:hAnsi="Calibri"/>
          <w:b w:val="false"/>
          <w:sz w:val="22"/>
          <w:szCs w:val="22"/>
        </w:rPr>
        <w:t xml:space="preserve">This field holds the default sales code used when the customer at this ship to address makes purchases in the Service Department (repair orders).   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Attention Name: </w:t>
      </w:r>
      <w:r>
        <w:rPr>
          <w:rFonts w:cs="Calibri" w:ascii="Calibri" w:hAnsi="Calibri"/>
          <w:b w:val="false"/>
          <w:sz w:val="22"/>
          <w:szCs w:val="22"/>
        </w:rPr>
        <w:t>This field can be used to designate a specific department or person to receive merchandise.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Telephone: </w:t>
      </w:r>
      <w:r>
        <w:rPr>
          <w:rFonts w:cs="Calibri" w:ascii="Calibri" w:hAnsi="Calibri"/>
          <w:b w:val="false"/>
          <w:sz w:val="22"/>
          <w:szCs w:val="22"/>
        </w:rPr>
        <w:t>This field holds the telephone number for the ship to address.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Fax Number: </w:t>
      </w:r>
      <w:r>
        <w:rPr>
          <w:rFonts w:cs="Calibri" w:ascii="Calibri" w:hAnsi="Calibri"/>
          <w:b w:val="false"/>
          <w:sz w:val="22"/>
          <w:szCs w:val="22"/>
        </w:rPr>
        <w:t>The field holds the fax number for the ship to address.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Ship Via: </w:t>
      </w:r>
      <w:r>
        <w:rPr>
          <w:rFonts w:cs="Calibri" w:ascii="Calibri" w:hAnsi="Calibri"/>
          <w:b w:val="false"/>
          <w:sz w:val="22"/>
          <w:szCs w:val="22"/>
        </w:rPr>
        <w:t>This field holds the customer’s preferred shipping method.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Last Ship Date: </w:t>
      </w:r>
      <w:r>
        <w:rPr>
          <w:rFonts w:cs="Calibri" w:ascii="Calibri" w:hAnsi="Calibri"/>
          <w:b w:val="false"/>
          <w:sz w:val="22"/>
          <w:szCs w:val="22"/>
        </w:rPr>
        <w:t>This field shows the last time an invoice was created for this address.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Last Invoice #: </w:t>
      </w:r>
      <w:r>
        <w:rPr>
          <w:rFonts w:cs="Calibri" w:ascii="Calibri" w:hAnsi="Calibri"/>
          <w:b w:val="false"/>
          <w:sz w:val="22"/>
          <w:szCs w:val="22"/>
        </w:rPr>
        <w:t>This field shows the last invoice number issued to this address.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Price Matrix: </w:t>
      </w:r>
      <w:r>
        <w:rPr>
          <w:rFonts w:cs="Calibri" w:ascii="Calibri" w:hAnsi="Calibri"/>
          <w:b w:val="false"/>
          <w:sz w:val="22"/>
          <w:szCs w:val="22"/>
        </w:rPr>
        <w:t>This field is used to point to a defined price matrix code.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Discount Rate: </w:t>
      </w:r>
      <w:r>
        <w:rPr>
          <w:rFonts w:cs="Calibri" w:ascii="Calibri" w:hAnsi="Calibri"/>
          <w:b w:val="false"/>
          <w:sz w:val="22"/>
          <w:szCs w:val="22"/>
        </w:rPr>
        <w:t xml:space="preserve">This field may show a pre-set discount for this ship to address.  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 xml:space="preserve">A </w:t>
      </w:r>
      <w:r>
        <w:rPr>
          <w:rFonts w:cs="Calibri" w:ascii="Calibri" w:hAnsi="Calibri"/>
          <w:sz w:val="22"/>
          <w:szCs w:val="22"/>
        </w:rPr>
        <w:t>positive</w:t>
      </w:r>
      <w:r>
        <w:rPr>
          <w:rFonts w:cs="Calibri" w:ascii="Calibri" w:hAnsi="Calibri"/>
          <w:b w:val="false"/>
          <w:sz w:val="22"/>
          <w:szCs w:val="22"/>
        </w:rPr>
        <w:t xml:space="preserve"> number means a discount.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 xml:space="preserve">A </w:t>
      </w:r>
      <w:r>
        <w:rPr>
          <w:rFonts w:cs="Calibri" w:ascii="Calibri" w:hAnsi="Calibri"/>
          <w:sz w:val="22"/>
          <w:szCs w:val="22"/>
        </w:rPr>
        <w:t>negative</w:t>
      </w:r>
      <w:r>
        <w:rPr>
          <w:rFonts w:cs="Calibri" w:ascii="Calibri" w:hAnsi="Calibri"/>
          <w:b w:val="false"/>
          <w:sz w:val="22"/>
          <w:szCs w:val="22"/>
        </w:rPr>
        <w:t xml:space="preserve"> number means a bump.   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Price Code: </w:t>
      </w:r>
      <w:r>
        <w:rPr>
          <w:rFonts w:cs="Calibri" w:ascii="Calibri" w:hAnsi="Calibri"/>
          <w:b w:val="false"/>
          <w:sz w:val="22"/>
          <w:szCs w:val="22"/>
        </w:rPr>
        <w:t>The Dealer Defined Pricing field holds the basis for the pricing for the customer.  It works with the discount level rate field to determine the selling price for pre-priced items in POS and SMS.  The choices for this field are:</w:t>
      </w:r>
    </w:p>
    <w:p>
      <w:pPr>
        <w:pStyle w:val="BodyText"/>
        <w:numPr>
          <w:ilvl w:val="1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1 - Cost</w:t>
      </w:r>
    </w:p>
    <w:p>
      <w:pPr>
        <w:pStyle w:val="BodyText"/>
        <w:numPr>
          <w:ilvl w:val="1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2 - List</w:t>
      </w:r>
    </w:p>
    <w:p>
      <w:pPr>
        <w:pStyle w:val="BodyText"/>
        <w:numPr>
          <w:ilvl w:val="1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3 - Dealer Defined Pricing Level</w:t>
      </w:r>
    </w:p>
    <w:p>
      <w:pPr>
        <w:pStyle w:val="BodyText"/>
        <w:numPr>
          <w:ilvl w:val="1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4 - Dealer Defined Pricing Level</w:t>
      </w:r>
    </w:p>
    <w:p>
      <w:pPr>
        <w:pStyle w:val="BodyText"/>
        <w:numPr>
          <w:ilvl w:val="1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5 - MSRP (Manufacturer’s Suggested)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Tax ID: </w:t>
      </w:r>
      <w:r>
        <w:rPr>
          <w:rFonts w:cs="Calibri" w:ascii="Calibri" w:hAnsi="Calibri"/>
          <w:b w:val="false"/>
          <w:sz w:val="22"/>
          <w:szCs w:val="22"/>
        </w:rPr>
        <w:t xml:space="preserve">This field stores the tax exempt number for the customer at this ship to address 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Service Category: </w:t>
      </w:r>
      <w:r>
        <w:rPr>
          <w:rFonts w:cs="Calibri" w:ascii="Calibri" w:hAnsi="Calibri"/>
          <w:b w:val="false"/>
          <w:bCs/>
          <w:sz w:val="22"/>
          <w:szCs w:val="22"/>
        </w:rPr>
        <w:t>This field is for future use for shipping addresses in Service Management (SMS).</w:t>
      </w:r>
      <w:r>
        <w:rPr>
          <w:rFonts w:cs="Calibri" w:ascii="Calibri" w:hAnsi="Calibri"/>
          <w:bCs/>
          <w:sz w:val="22"/>
          <w:szCs w:val="22"/>
        </w:rPr>
        <w:t xml:space="preserve">    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Ignore Tax Override?: </w:t>
      </w:r>
      <w:r>
        <w:rPr>
          <w:rFonts w:cs="Calibri" w:ascii="Calibri" w:hAnsi="Calibri"/>
          <w:b w:val="false"/>
          <w:sz w:val="22"/>
          <w:szCs w:val="22"/>
        </w:rPr>
        <w:t xml:space="preserve">This field allows the customer’s sales tax code to override any codes found on part numbers.  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“</w:t>
      </w:r>
      <w:r>
        <w:rPr>
          <w:rFonts w:cs="Calibri" w:ascii="Calibri" w:hAnsi="Calibri"/>
          <w:b w:val="false"/>
          <w:sz w:val="22"/>
          <w:szCs w:val="22"/>
        </w:rPr>
        <w:t>Y” means the customer’s codes are to be used.</w:t>
      </w:r>
    </w:p>
    <w:sectPr>
      <w:headerReference w:type="default" r:id="rId4"/>
      <w:footerReference w:type="default" r:id="rId5"/>
      <w:type w:val="nextPage"/>
      <w:pgSz w:w="12240" w:h="15840"/>
      <w:pgMar w:left="1800" w:right="1800" w:gutter="0" w:header="720" w:top="1440" w:footer="720" w:bottom="1440"/>
      <w:pgNumType w:fmt="decimal"/>
      <w:formProt w:val="false"/>
      <w:textDirection w:val="lrTb"/>
      <w:docGrid w:type="default" w:linePitch="2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Verdana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Calibri">
    <w:charset w:val="00"/>
    <w:family w:val="swiss"/>
    <w:pitch w:val="variable"/>
  </w:font>
  <w:font w:name="Courier New">
    <w:charset w:val="00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1"/>
      <w:rPr>
        <w:rStyle w:val="PageNumber"/>
        <w:rFonts w:eastAsia="Arial Unicode MS"/>
        <w:i/>
        <w:i/>
      </w:rPr>
    </w:pPr>
    <w:r>
      <w:rPr/>
      <w:t xml:space="preserve">NVRWA019-RWDBF </w:t>
    </w:r>
    <w:r>
      <w:rPr/>
      <w:fldChar w:fldCharType="begin"/>
    </w:r>
    <w:r>
      <w:rPr/>
      <w:instrText xml:space="preserve"> DATE \@"M\/d\/yyyy" </w:instrText>
    </w:r>
    <w:r>
      <w:rPr/>
      <w:fldChar w:fldCharType="separate"/>
    </w:r>
    <w:r>
      <w:rPr/>
      <w:t>1/17/2026</w:t>
    </w:r>
    <w:r>
      <w:rPr/>
      <w:fldChar w:fldCharType="end"/>
    </w:r>
    <w:r>
      <w:rPr/>
      <w:tab/>
    </w:r>
    <w:r>
      <w:rPr>
        <w:b/>
        <w:i w:val="false"/>
        <w:sz w:val="24"/>
      </w:rPr>
      <w:t>A019:</w:t>
    </w:r>
    <w:r>
      <w:rPr>
        <w:rStyle w:val="PageNumber"/>
        <w:i/>
        <w:sz w:val="24"/>
      </w:rPr>
      <w:fldChar w:fldCharType="begin"/>
    </w:r>
    <w:r>
      <w:rPr>
        <w:rStyle w:val="PageNumber"/>
        <w:sz w:val="24"/>
        <w:i/>
      </w:rPr>
      <w:instrText xml:space="preserve"> PAGE </w:instrText>
    </w:r>
    <w:r>
      <w:rPr>
        <w:rStyle w:val="PageNumber"/>
        <w:sz w:val="24"/>
        <w:i/>
      </w:rPr>
      <w:fldChar w:fldCharType="separate"/>
    </w:r>
    <w:r>
      <w:rPr>
        <w:rStyle w:val="PageNumber"/>
        <w:sz w:val="24"/>
        <w:i/>
      </w:rPr>
      <w:t>3</w:t>
    </w:r>
    <w:r>
      <w:rPr>
        <w:rStyle w:val="PageNumber"/>
        <w:sz w:val="24"/>
        <w:i/>
      </w:rPr>
      <w:fldChar w:fldCharType="end"/>
    </w:r>
  </w:p>
  <w:p>
    <w:pPr>
      <w:pStyle w:val="Footer"/>
      <w:rPr/>
    </w:pPr>
    <w:r>
      <w:rPr>
        <w:rStyle w:val="PageNumber"/>
      </w:rPr>
      <w:t>HBS Systems</w:t>
      <w:tab/>
      <w:tab/>
    </w:r>
    <w:r>
      <w:rPr>
        <w:rStyle w:val="PageNumber"/>
        <w:b w:val="false"/>
        <w:i/>
      </w:rPr>
      <w:t>RWDBF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Style w:val="PageNumber"/>
        <w:b w:val="false"/>
        <w:bCs/>
      </w:rPr>
      <w:t>Appendix A – Database Files</w:t>
      <w:tab/>
    </w:r>
    <w:r>
      <w:rPr>
        <w:rStyle w:val="PageNumber"/>
        <w:b/>
        <w:bCs/>
      </w:rPr>
      <w:t>Report Writer</w:t>
    </w:r>
  </w:p>
  <w:p>
    <w:pPr>
      <w:pStyle w:val="Header"/>
      <w:rPr/>
    </w:pPr>
    <w:r>
      <w:rPr>
        <w:rStyle w:val="PageNumber"/>
        <w:b/>
        <w:bCs/>
      </w:rPr>
      <w:t>Netview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NOTE:  "/>
      <w:lvlJc w:val="left"/>
      <w:pPr>
        <w:tabs>
          <w:tab w:val="num" w:pos="1080"/>
        </w:tabs>
        <w:ind w:left="360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b/>
        <w:vanish w:val="false"/>
        <w:rFonts w:ascii="Verdana" w:hAnsi="Verdana" w:cs="Verdana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jc w:val="both"/>
    </w:pPr>
    <w:rPr>
      <w:rFonts w:ascii="Verdana" w:hAnsi="Verdana" w:eastAsia="Times New Roman" w:cs="Verdana"/>
      <w:color w:val="auto"/>
      <w:sz w:val="20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rFonts w:ascii="Verdana" w:hAnsi="Verdana" w:cs="Verdana"/>
      <w:b/>
      <w:sz w:val="28"/>
    </w:rPr>
  </w:style>
  <w:style w:type="paragraph" w:styleId="Heading2">
    <w:name w:val="heading 2"/>
    <w:basedOn w:val="Normal"/>
    <w:next w:val="Body"/>
    <w:qFormat/>
    <w:pPr>
      <w:keepNext w:val="true"/>
      <w:numPr>
        <w:ilvl w:val="1"/>
        <w:numId w:val="1"/>
      </w:numPr>
      <w:spacing w:before="240" w:after="60"/>
      <w:jc w:val="both"/>
      <w:outlineLvl w:val="1"/>
    </w:pPr>
    <w:rPr>
      <w:rFonts w:ascii="Verdana" w:hAnsi="Verdana" w:cs="Verdana"/>
      <w:b/>
    </w:rPr>
  </w:style>
  <w:style w:type="paragraph" w:styleId="Heading3">
    <w:name w:val="heading 3"/>
    <w:basedOn w:val="Normal"/>
    <w:next w:val="BodyText"/>
    <w:qFormat/>
    <w:pPr>
      <w:keepNext w:val="true"/>
      <w:numPr>
        <w:ilvl w:val="2"/>
        <w:numId w:val="1"/>
      </w:numPr>
      <w:spacing w:before="240" w:after="0"/>
      <w:jc w:val="both"/>
      <w:outlineLvl w:val="2"/>
    </w:pPr>
    <w:rPr>
      <w:rFonts w:ascii="Verdana" w:hAnsi="Verdana" w:cs="Verdana"/>
      <w:b/>
      <w:sz w:val="20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0"/>
      <w:ind w:hanging="0" w:left="331" w:right="0"/>
      <w:jc w:val="both"/>
      <w:outlineLvl w:val="3"/>
    </w:pPr>
    <w:rPr>
      <w:rFonts w:ascii="Verdana" w:hAnsi="Verdana" w:cs="Verdana"/>
      <w:b/>
      <w:bCs/>
      <w:sz w:val="20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0"/>
      <w:ind w:hanging="0" w:left="691" w:right="0"/>
      <w:jc w:val="both"/>
      <w:outlineLvl w:val="4"/>
    </w:pPr>
    <w:rPr>
      <w:rFonts w:ascii="Verdana" w:hAnsi="Verdana" w:cs="Verdana"/>
      <w:b/>
      <w:bCs/>
      <w:iCs/>
      <w:sz w:val="20"/>
      <w:szCs w:val="26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ascii="Verdana" w:hAnsi="Verdana" w:cs="Verdana"/>
      <w:b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vertAlign w:val="baseline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PageNumber">
    <w:name w:val="page number"/>
    <w:rPr>
      <w:rFonts w:ascii="Verdana" w:hAnsi="Verdana" w:cs="Verdana"/>
      <w:b/>
      <w:strike w:val="false"/>
      <w:dstrike w:val="false"/>
      <w:position w:val="0"/>
      <w:sz w:val="20"/>
      <w:sz w:val="20"/>
      <w:vertAlign w:val="baseli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next w:val="Body"/>
    <w:pPr/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Body">
    <w:name w:val="Body"/>
    <w:basedOn w:val="Normal"/>
    <w:qFormat/>
    <w:pPr>
      <w:spacing w:before="240" w:after="0"/>
      <w:jc w:val="both"/>
    </w:pPr>
    <w:rPr>
      <w:rFonts w:ascii="Verdana" w:hAnsi="Verdana" w:cs="Verdana"/>
      <w:sz w:val="20"/>
    </w:rPr>
  </w:style>
  <w:style w:type="paragraph" w:styleId="Command">
    <w:name w:val="Command"/>
    <w:basedOn w:val="Normal"/>
    <w:qFormat/>
    <w:pPr>
      <w:spacing w:before="240" w:after="0"/>
      <w:ind w:hanging="0" w:left="331" w:right="0"/>
      <w:jc w:val="both"/>
    </w:pPr>
    <w:rPr>
      <w:rFonts w:ascii="Verdana" w:hAnsi="Verdana" w:cs="Verdana"/>
      <w:b/>
      <w:sz w:val="20"/>
    </w:rPr>
  </w:style>
  <w:style w:type="paragraph" w:styleId="Continued">
    <w:name w:val="Continued"/>
    <w:basedOn w:val="Heading2"/>
    <w:qFormat/>
    <w:pPr>
      <w:numPr>
        <w:ilvl w:val="0"/>
        <w:numId w:val="0"/>
      </w:numPr>
      <w:spacing w:before="0" w:after="60"/>
      <w:jc w:val="both"/>
      <w:outlineLvl w:val="9"/>
    </w:pPr>
    <w:rPr>
      <w:rFonts w:ascii="Verdana" w:hAnsi="Verdana" w:cs="Times New Roman"/>
      <w:bCs/>
      <w:i/>
      <w:i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  <w:jc w:val="both"/>
    </w:pPr>
    <w:rPr>
      <w:rFonts w:ascii="Verdana" w:hAnsi="Verdana" w:cs="Verdana"/>
      <w:sz w:val="20"/>
    </w:rPr>
  </w:style>
  <w:style w:type="paragraph" w:styleId="Footer1">
    <w:name w:val="Footer 1"/>
    <w:basedOn w:val="Footer"/>
    <w:qFormat/>
    <w:pPr>
      <w:tabs>
        <w:tab w:val="clear" w:pos="4320"/>
        <w:tab w:val="right" w:pos="8640" w:leader="none"/>
      </w:tabs>
    </w:pPr>
    <w:rPr>
      <w:i/>
      <w:sz w:val="16"/>
    </w:rPr>
  </w:style>
  <w:style w:type="paragraph" w:styleId="Header">
    <w:name w:val="header"/>
    <w:basedOn w:val="Normal"/>
    <w:pPr>
      <w:tabs>
        <w:tab w:val="clear" w:pos="720"/>
        <w:tab w:val="right" w:pos="8640" w:leader="none"/>
      </w:tabs>
      <w:jc w:val="both"/>
    </w:pPr>
    <w:rPr>
      <w:rFonts w:ascii="Verdana" w:hAnsi="Verdana" w:cs="Verdana"/>
      <w:b/>
      <w:i/>
      <w:sz w:val="20"/>
    </w:rPr>
  </w:style>
  <w:style w:type="paragraph" w:styleId="Indent">
    <w:name w:val="Indent"/>
    <w:basedOn w:val="Normal"/>
    <w:qFormat/>
    <w:pPr>
      <w:spacing w:before="240" w:after="0"/>
      <w:ind w:hanging="0" w:left="331" w:right="0"/>
      <w:jc w:val="both"/>
    </w:pPr>
    <w:rPr>
      <w:rFonts w:ascii="Verdana" w:hAnsi="Verdana" w:cs="Verdana"/>
      <w:sz w:val="20"/>
    </w:rPr>
  </w:style>
  <w:style w:type="paragraph" w:styleId="IndentText">
    <w:name w:val="Indent Text"/>
    <w:basedOn w:val="Indent"/>
    <w:qFormat/>
    <w:pPr>
      <w:spacing w:before="0" w:after="0"/>
    </w:pPr>
    <w:rPr/>
  </w:style>
  <w:style w:type="paragraph" w:styleId="Indent2">
    <w:name w:val="Indent2"/>
    <w:basedOn w:val="Indent"/>
    <w:qFormat/>
    <w:pPr>
      <w:ind w:hanging="0" w:left="696" w:right="0"/>
    </w:pPr>
    <w:rPr/>
  </w:style>
  <w:style w:type="paragraph" w:styleId="Indent2Text">
    <w:name w:val="Indent2 Text"/>
    <w:basedOn w:val="Indent2"/>
    <w:qFormat/>
    <w:pPr>
      <w:spacing w:before="0" w:after="0"/>
      <w:ind w:hanging="0" w:left="691" w:right="0"/>
    </w:pPr>
    <w:rPr/>
  </w:style>
  <w:style w:type="paragraph" w:styleId="Note">
    <w:name w:val="Note"/>
    <w:basedOn w:val="Normal"/>
    <w:next w:val="Body"/>
    <w:qFormat/>
    <w:pPr>
      <w:numPr>
        <w:ilvl w:val="0"/>
        <w:numId w:val="2"/>
      </w:numPr>
      <w:tabs>
        <w:tab w:val="clear" w:pos="720"/>
        <w:tab w:val="left" w:pos="888" w:leader="none"/>
      </w:tabs>
      <w:spacing w:before="240" w:after="0"/>
      <w:ind w:hanging="0" w:left="0" w:right="0"/>
    </w:pPr>
    <w:rPr/>
  </w:style>
  <w:style w:type="paragraph" w:styleId="Note2">
    <w:name w:val="Note2"/>
    <w:basedOn w:val="Note"/>
    <w:next w:val="Body"/>
    <w:qFormat/>
    <w:pPr>
      <w:numPr>
        <w:ilvl w:val="0"/>
        <w:numId w:val="0"/>
      </w:numPr>
      <w:tabs>
        <w:tab w:val="left" w:pos="888" w:leader="none"/>
        <w:tab w:val="left" w:pos="1248" w:leader="none"/>
      </w:tabs>
      <w:ind w:hanging="0" w:left="360" w:right="0"/>
    </w:pPr>
    <w:rPr/>
  </w:style>
  <w:style w:type="paragraph" w:styleId="Screen">
    <w:name w:val="Screen"/>
    <w:basedOn w:val="Normal"/>
    <w:qFormat/>
    <w:pPr>
      <w:jc w:val="left"/>
    </w:pPr>
    <w:rPr>
      <w:rFonts w:ascii="Courier New" w:hAnsi="Courier New" w:cs="Courier New"/>
      <w:b/>
      <w:sz w:val="18"/>
    </w:rPr>
  </w:style>
  <w:style w:type="paragraph" w:styleId="TOC1">
    <w:name w:val="toc 1"/>
    <w:basedOn w:val="Normal"/>
    <w:pPr>
      <w:tabs>
        <w:tab w:val="clear" w:pos="720"/>
        <w:tab w:val="right" w:pos="8640" w:leader="dot"/>
      </w:tabs>
      <w:spacing w:before="180" w:after="120"/>
    </w:pPr>
    <w:rPr>
      <w:b/>
    </w:rPr>
  </w:style>
  <w:style w:type="paragraph" w:styleId="TOC2">
    <w:name w:val="toc 2"/>
    <w:basedOn w:val="Normal"/>
    <w:pPr>
      <w:tabs>
        <w:tab w:val="clear" w:pos="720"/>
        <w:tab w:val="right" w:pos="8640" w:leader="dot"/>
      </w:tabs>
      <w:ind w:hanging="0" w:left="200" w:right="0"/>
    </w:pPr>
    <w:rPr/>
  </w:style>
  <w:style w:type="paragraph" w:styleId="TOCBase">
    <w:name w:val="TOC Base"/>
    <w:basedOn w:val="Heading2"/>
    <w:next w:val="TOC1"/>
    <w:qFormat/>
    <w:pPr>
      <w:numPr>
        <w:ilvl w:val="0"/>
        <w:numId w:val="0"/>
      </w:numPr>
      <w:tabs>
        <w:tab w:val="clear" w:pos="720"/>
        <w:tab w:val="right" w:pos="8640" w:leader="none"/>
      </w:tabs>
      <w:spacing w:before="0" w:after="0"/>
      <w:outlineLvl w:val="9"/>
    </w:pPr>
    <w:rPr>
      <w:sz w:val="24"/>
      <w:u w:val="single"/>
    </w:rPr>
  </w:style>
  <w:style w:type="paragraph" w:styleId="TOC3">
    <w:name w:val="TOC3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1072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2015-10-15T21:39:00Z</dcterms:created>
  <dc:creator>sdavis</dc:creator>
  <dc:description/>
  <cp:keywords/>
  <dc:language>en-US</dc:language>
  <cp:lastModifiedBy>Shelby Lund</cp:lastModifiedBy>
  <cp:lastPrinted>2007-06-06T13:27:00Z</cp:lastPrinted>
  <dcterms:modified xsi:type="dcterms:W3CDTF">2015-10-16T18:49:00Z</dcterms:modified>
  <cp:revision>4</cp:revision>
  <dc:subject/>
  <dc:title>Accounts Receivable Ship To Addresses</dc:title>
</cp:coreProperties>
</file>