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keepNext w:val="false"/>
        <w:spacing w:before="120" w:after="0"/>
        <w:ind w:hanging="0" w:left="0"/>
        <w:rPr>
          <w:rFonts w:ascii="Calibri" w:hAnsi="Calibri" w:cs="Calibri"/>
          <w:b w:val="false"/>
          <w:sz w:val="28"/>
          <w:szCs w:val="28"/>
        </w:rPr>
      </w:pPr>
      <w:r>
        <w:rPr>
          <w:rFonts w:cs="Calibri" w:ascii="Calibri" w:hAnsi="Calibri"/>
          <w:sz w:val="28"/>
          <w:szCs w:val="28"/>
        </w:rPr>
        <w:t xml:space="preserve">General Ledger Balances Forward and History: </w:t>
      </w:r>
      <w:r>
        <w:rPr>
          <w:rFonts w:cs="Calibri" w:ascii="Calibri" w:hAnsi="Calibri"/>
          <w:b w:val="false"/>
          <w:sz w:val="22"/>
          <w:szCs w:val="22"/>
        </w:rPr>
        <w:t>This file pulls account number, history, budget, and allocation information used in the Account Number Maintenance program (ANM).</w:t>
      </w:r>
    </w:p>
    <w:p>
      <w:pPr>
        <w:pStyle w:val="Body"/>
        <w:spacing w:before="120" w:after="0"/>
        <w:rPr>
          <w:rFonts w:ascii="Calibri" w:hAnsi="Calibri" w:cs="Calibri"/>
          <w:b/>
          <w:sz w:val="22"/>
          <w:szCs w:val="22"/>
        </w:rPr>
      </w:pPr>
      <w:r>
        <w:rPr>
          <w:rFonts w:cs="Calibri" w:ascii="Calibri" w:hAnsi="Calibri"/>
          <w:b/>
          <w:sz w:val="22"/>
          <w:szCs w:val="22"/>
        </w:rPr>
      </w:r>
    </w:p>
    <w:p>
      <w:pPr>
        <w:pStyle w:val="Heading3"/>
        <w:keepNext w:val="false"/>
        <w:spacing w:before="120" w:after="0"/>
        <w:ind w:hanging="0" w:left="0"/>
        <w:jc w:val="center"/>
        <w:rPr>
          <w:rFonts w:ascii="Calibri" w:hAnsi="Calibri" w:cs="Calibri"/>
          <w:b w:val="false"/>
          <w:sz w:val="22"/>
          <w:szCs w:val="22"/>
        </w:rPr>
      </w:pPr>
      <w:r>
        <w:rPr>
          <w:rFonts w:cs="Calibri" w:ascii="Calibri" w:hAnsi="Calibri"/>
          <w:b w:val="false"/>
          <w:sz w:val="22"/>
          <w:szCs w:val="22"/>
        </w:rPr>
        <w:drawing>
          <wp:inline distT="0" distB="0" distL="0" distR="0">
            <wp:extent cx="4057650" cy="28575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9" t="-13" r="-9" b="-13"/>
                    <a:stretch>
                      <a:fillRect/>
                    </a:stretch>
                  </pic:blipFill>
                  <pic:spPr bwMode="auto">
                    <a:xfrm>
                      <a:off x="0" y="0"/>
                      <a:ext cx="4057650" cy="2857500"/>
                    </a:xfrm>
                    <a:prstGeom prst="rect">
                      <a:avLst/>
                    </a:prstGeom>
                    <a:noFill/>
                  </pic:spPr>
                </pic:pic>
              </a:graphicData>
            </a:graphic>
          </wp:inline>
        </w:drawing>
      </w:r>
    </w:p>
    <w:p>
      <w:pPr>
        <w:pStyle w:val="BodyText"/>
        <w:spacing w:before="120" w:after="0"/>
        <w:rPr>
          <w:rFonts w:ascii="Calibri" w:hAnsi="Calibri" w:cs="Calibri"/>
          <w:b/>
          <w:sz w:val="22"/>
          <w:szCs w:val="22"/>
        </w:rPr>
      </w:pPr>
      <w:r>
        <w:rPr>
          <w:rFonts w:cs="Calibri" w:ascii="Calibri" w:hAnsi="Calibri"/>
          <w:b/>
          <w:sz w:val="22"/>
          <w:szCs w:val="22"/>
        </w:rPr>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Account No.: </w:t>
      </w:r>
      <w:r>
        <w:rPr>
          <w:rFonts w:cs="Calibri" w:ascii="Calibri" w:hAnsi="Calibri"/>
          <w:b w:val="false"/>
          <w:sz w:val="22"/>
          <w:szCs w:val="22"/>
        </w:rPr>
        <w:t xml:space="preserve">This field holds the 5-6 character general ledger account number.  </w:t>
      </w:r>
    </w:p>
    <w:p>
      <w:pPr>
        <w:pStyle w:val="Heading3"/>
        <w:keepNext w:val="false"/>
        <w:numPr>
          <w:ilvl w:val="1"/>
          <w:numId w:val="3"/>
        </w:numPr>
        <w:spacing w:before="120" w:after="0"/>
        <w:rPr>
          <w:rFonts w:ascii="Calibri" w:hAnsi="Calibri" w:cs="Calibri"/>
          <w:b w:val="false"/>
          <w:sz w:val="22"/>
          <w:szCs w:val="22"/>
        </w:rPr>
      </w:pPr>
      <w:r>
        <w:rPr>
          <w:rFonts w:cs="Calibri" w:ascii="Calibri" w:hAnsi="Calibri"/>
          <w:b w:val="false"/>
          <w:sz w:val="22"/>
          <w:szCs w:val="22"/>
        </w:rPr>
        <w:t>The 6</w:t>
      </w:r>
      <w:r>
        <w:rPr>
          <w:rFonts w:cs="Calibri" w:ascii="Calibri" w:hAnsi="Calibri"/>
          <w:b w:val="false"/>
          <w:sz w:val="22"/>
          <w:szCs w:val="22"/>
          <w:vertAlign w:val="superscript"/>
        </w:rPr>
        <w:t>th</w:t>
      </w:r>
      <w:r>
        <w:rPr>
          <w:rFonts w:cs="Calibri" w:ascii="Calibri" w:hAnsi="Calibri"/>
          <w:b w:val="false"/>
          <w:sz w:val="22"/>
          <w:szCs w:val="22"/>
        </w:rPr>
        <w:t xml:space="preserve"> position is only used for multi-locations.</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Acct Name: </w:t>
      </w:r>
      <w:r>
        <w:rPr>
          <w:rFonts w:cs="Calibri" w:ascii="Calibri" w:hAnsi="Calibri"/>
          <w:b w:val="false"/>
          <w:sz w:val="22"/>
          <w:szCs w:val="22"/>
        </w:rPr>
        <w:t>This field holds the description of the account number.</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Last Update: </w:t>
      </w:r>
      <w:r>
        <w:rPr>
          <w:rFonts w:cs="Calibri" w:ascii="Calibri" w:hAnsi="Calibri"/>
          <w:b w:val="false"/>
          <w:sz w:val="22"/>
          <w:szCs w:val="22"/>
        </w:rPr>
        <w:t>This field holds the date this account was last affected by a month end closing process.</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YTD Balance: </w:t>
      </w:r>
      <w:r>
        <w:rPr>
          <w:rFonts w:cs="Calibri" w:ascii="Calibri" w:hAnsi="Calibri"/>
          <w:b w:val="false"/>
          <w:sz w:val="22"/>
          <w:szCs w:val="22"/>
        </w:rPr>
        <w:t>This field holds the balance as of the last month end closing process.  This is a system-maintained field and is updated when an accounting period is closed.</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Cur Balance: </w:t>
      </w:r>
      <w:r>
        <w:rPr>
          <w:rFonts w:cs="Calibri" w:ascii="Calibri" w:hAnsi="Calibri"/>
          <w:b w:val="false"/>
          <w:sz w:val="22"/>
          <w:szCs w:val="22"/>
        </w:rPr>
        <w:t>This field holds the closing balance for the same account period noted in the YTD balance as of the previous year’s business.</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Jan – Dec Mo Bal: </w:t>
      </w:r>
      <w:r>
        <w:rPr>
          <w:rFonts w:cs="Calibri" w:ascii="Calibri" w:hAnsi="Calibri"/>
          <w:b w:val="false"/>
          <w:sz w:val="22"/>
          <w:szCs w:val="22"/>
        </w:rPr>
        <w:t xml:space="preserve">These 12 fields hold the closing balances of a rolling 12 months.  They are updated when the GL month end and year end programs are run.  </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Jan – Dec Budget: </w:t>
      </w:r>
      <w:r>
        <w:rPr>
          <w:rFonts w:cs="Calibri" w:ascii="Calibri" w:hAnsi="Calibri"/>
          <w:b w:val="false"/>
          <w:sz w:val="22"/>
          <w:szCs w:val="22"/>
        </w:rPr>
        <w:t>These 12 fields hold budget figures for a rolling 12 months for this account.</w:t>
      </w:r>
    </w:p>
    <w:p>
      <w:pPr>
        <w:pStyle w:val="Heading3"/>
        <w:keepNext w:val="false"/>
        <w:spacing w:before="120" w:after="0"/>
        <w:ind w:hanging="0" w:left="0"/>
        <w:rPr>
          <w:rFonts w:ascii="Calibri" w:hAnsi="Calibri" w:cs="Calibri"/>
          <w:b w:val="false"/>
          <w:sz w:val="22"/>
          <w:szCs w:val="22"/>
        </w:rPr>
      </w:pPr>
      <w:r>
        <w:rPr>
          <w:rFonts w:cs="Calibri" w:ascii="Calibri" w:hAnsi="Calibri"/>
          <w:b w:val="false"/>
          <w:sz w:val="22"/>
          <w:szCs w:val="22"/>
        </w:rPr>
      </w:r>
    </w:p>
    <w:p>
      <w:pPr>
        <w:pStyle w:val="BodyText"/>
        <w:spacing w:before="120" w:after="0"/>
        <w:rPr>
          <w:rFonts w:ascii="Calibri" w:hAnsi="Calibri" w:cs="Calibri"/>
          <w:sz w:val="22"/>
          <w:szCs w:val="22"/>
        </w:rPr>
      </w:pPr>
      <w:r>
        <w:rPr>
          <w:rFonts w:cs="Calibri" w:ascii="Calibri" w:hAnsi="Calibri"/>
          <w:sz w:val="22"/>
          <w:szCs w:val="22"/>
        </w:rPr>
      </w:r>
    </w:p>
    <w:p>
      <w:pPr>
        <w:pStyle w:val="Heading3"/>
        <w:keepNext w:val="false"/>
        <w:spacing w:before="120" w:after="0"/>
        <w:ind w:hanging="0" w:left="0"/>
        <w:jc w:val="center"/>
        <w:rPr>
          <w:rFonts w:ascii="Calibri" w:hAnsi="Calibri" w:cs="Calibri"/>
          <w:sz w:val="22"/>
          <w:szCs w:val="22"/>
        </w:rPr>
      </w:pPr>
      <w:r>
        <w:rPr>
          <w:rFonts w:cs="Calibri" w:ascii="Calibri" w:hAnsi="Calibri"/>
          <w:sz w:val="22"/>
          <w:szCs w:val="22"/>
        </w:rPr>
        <w:drawing>
          <wp:inline distT="0" distB="0" distL="0" distR="0">
            <wp:extent cx="4048125" cy="283845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9" t="-13" r="-9" b="-13"/>
                    <a:stretch>
                      <a:fillRect/>
                    </a:stretch>
                  </pic:blipFill>
                  <pic:spPr bwMode="auto">
                    <a:xfrm>
                      <a:off x="0" y="0"/>
                      <a:ext cx="4048125" cy="2838450"/>
                    </a:xfrm>
                    <a:prstGeom prst="rect">
                      <a:avLst/>
                    </a:prstGeom>
                    <a:noFill/>
                  </pic:spPr>
                </pic:pic>
              </a:graphicData>
            </a:graphic>
          </wp:inline>
        </w:drawing>
      </w:r>
    </w:p>
    <w:p>
      <w:pPr>
        <w:pStyle w:val="BodyText"/>
        <w:spacing w:before="120" w:after="0"/>
        <w:rPr>
          <w:rFonts w:ascii="Calibri" w:hAnsi="Calibri" w:cs="Calibri"/>
          <w:sz w:val="22"/>
          <w:szCs w:val="22"/>
        </w:rPr>
      </w:pPr>
      <w:r>
        <w:rPr>
          <w:rFonts w:cs="Calibri" w:ascii="Calibri" w:hAnsi="Calibri"/>
          <w:sz w:val="22"/>
          <w:szCs w:val="22"/>
        </w:rPr>
      </w:r>
    </w:p>
    <w:p>
      <w:pPr>
        <w:pStyle w:val="Heading3"/>
        <w:keepNext w:val="false"/>
        <w:numPr>
          <w:ilvl w:val="0"/>
          <w:numId w:val="5"/>
        </w:numPr>
        <w:spacing w:before="120" w:after="0"/>
        <w:rPr>
          <w:rFonts w:ascii="Calibri" w:hAnsi="Calibri" w:cs="Calibri"/>
          <w:sz w:val="22"/>
          <w:szCs w:val="22"/>
        </w:rPr>
      </w:pPr>
      <w:r>
        <w:rPr>
          <w:rFonts w:cs="Calibri" w:ascii="Calibri" w:hAnsi="Calibri"/>
          <w:sz w:val="22"/>
          <w:szCs w:val="22"/>
        </w:rPr>
        <w:t xml:space="preserve">DOC Line #1: </w:t>
      </w:r>
      <w:r>
        <w:rPr>
          <w:rFonts w:cs="Calibri" w:ascii="Calibri" w:hAnsi="Calibri"/>
          <w:b w:val="false"/>
          <w:sz w:val="22"/>
          <w:szCs w:val="22"/>
        </w:rPr>
        <w:t>This is the first of four fields used in the formatting of the DOC (Daily Operating Control) report.  This field holds the line number of the first appearance of this account number on the DOC report.</w:t>
      </w:r>
      <w:r>
        <w:rPr>
          <w:rFonts w:cs="Calibri" w:ascii="Calibri" w:hAnsi="Calibri"/>
          <w:sz w:val="22"/>
          <w:szCs w:val="22"/>
        </w:rPr>
        <w:t xml:space="preserve">   </w:t>
      </w:r>
    </w:p>
    <w:p>
      <w:pPr>
        <w:pStyle w:val="Heading3"/>
        <w:keepNext w:val="false"/>
        <w:numPr>
          <w:ilvl w:val="0"/>
          <w:numId w:val="5"/>
        </w:numPr>
        <w:spacing w:before="120" w:after="0"/>
        <w:rPr>
          <w:rFonts w:ascii="Calibri" w:hAnsi="Calibri" w:cs="Calibri"/>
          <w:sz w:val="22"/>
          <w:szCs w:val="22"/>
        </w:rPr>
      </w:pPr>
      <w:r>
        <w:rPr>
          <w:rFonts w:cs="Calibri" w:ascii="Calibri" w:hAnsi="Calibri"/>
          <w:sz w:val="22"/>
          <w:szCs w:val="22"/>
        </w:rPr>
        <w:t xml:space="preserve">DOC Line #2: </w:t>
      </w:r>
      <w:r>
        <w:rPr>
          <w:rFonts w:cs="Calibri" w:ascii="Calibri" w:hAnsi="Calibri"/>
          <w:b w:val="false"/>
          <w:sz w:val="22"/>
          <w:szCs w:val="22"/>
        </w:rPr>
        <w:t>This is the second of four fields used in the formatting of the DOC (Daily Operating Control) report.  This field holds the line number of the second appearance of this account number on the DOC report.</w:t>
      </w:r>
      <w:r>
        <w:rPr>
          <w:rFonts w:cs="Calibri" w:ascii="Calibri" w:hAnsi="Calibri"/>
          <w:sz w:val="22"/>
          <w:szCs w:val="22"/>
        </w:rPr>
        <w:t xml:space="preserve">   </w:t>
      </w:r>
    </w:p>
    <w:p>
      <w:pPr>
        <w:pStyle w:val="Heading3"/>
        <w:keepNext w:val="false"/>
        <w:numPr>
          <w:ilvl w:val="0"/>
          <w:numId w:val="5"/>
        </w:numPr>
        <w:spacing w:before="120" w:after="0"/>
        <w:rPr>
          <w:rFonts w:ascii="Calibri" w:hAnsi="Calibri" w:cs="Calibri"/>
          <w:b w:val="false"/>
          <w:sz w:val="22"/>
          <w:szCs w:val="22"/>
        </w:rPr>
      </w:pPr>
      <w:r>
        <w:rPr>
          <w:rFonts w:cs="Calibri" w:ascii="Calibri" w:hAnsi="Calibri"/>
          <w:sz w:val="22"/>
          <w:szCs w:val="22"/>
        </w:rPr>
        <w:t xml:space="preserve">DOC Line # 3: </w:t>
      </w:r>
      <w:r>
        <w:rPr>
          <w:rFonts w:cs="Calibri" w:ascii="Calibri" w:hAnsi="Calibri"/>
          <w:b w:val="false"/>
          <w:sz w:val="22"/>
          <w:szCs w:val="22"/>
        </w:rPr>
        <w:t xml:space="preserve">This is the third of four fields used in the formatting of the DOC (Daily Operating Control) report.  This field holds the line number of the third appearance of this account number on the DOC report.   </w:t>
      </w:r>
    </w:p>
    <w:p>
      <w:pPr>
        <w:pStyle w:val="Heading3"/>
        <w:keepNext w:val="false"/>
        <w:numPr>
          <w:ilvl w:val="0"/>
          <w:numId w:val="5"/>
        </w:numPr>
        <w:spacing w:before="120" w:after="0"/>
        <w:rPr>
          <w:rFonts w:ascii="Calibri" w:hAnsi="Calibri" w:cs="Calibri"/>
          <w:b w:val="false"/>
          <w:sz w:val="22"/>
          <w:szCs w:val="22"/>
        </w:rPr>
      </w:pPr>
      <w:r>
        <w:rPr>
          <w:rFonts w:cs="Calibri" w:ascii="Calibri" w:hAnsi="Calibri"/>
          <w:sz w:val="22"/>
          <w:szCs w:val="22"/>
        </w:rPr>
        <w:t xml:space="preserve">DOC Line #4: </w:t>
      </w:r>
      <w:r>
        <w:rPr>
          <w:rFonts w:cs="Calibri" w:ascii="Calibri" w:hAnsi="Calibri"/>
          <w:b w:val="false"/>
          <w:sz w:val="22"/>
          <w:szCs w:val="22"/>
        </w:rPr>
        <w:t xml:space="preserve">This is the fourth of four fields used in the formatting of the DOC (Daily Operating Control) report.  This field holds the line number of the fourth appearance of this account number on the DOC report. </w:t>
      </w:r>
    </w:p>
    <w:p>
      <w:pPr>
        <w:pStyle w:val="Heading3"/>
        <w:keepNext w:val="false"/>
        <w:numPr>
          <w:ilvl w:val="0"/>
          <w:numId w:val="5"/>
        </w:numPr>
        <w:spacing w:before="120" w:after="0"/>
        <w:rPr>
          <w:rFonts w:ascii="Calibri" w:hAnsi="Calibri" w:cs="Calibri"/>
          <w:b w:val="false"/>
          <w:sz w:val="22"/>
          <w:szCs w:val="22"/>
        </w:rPr>
      </w:pPr>
      <w:r>
        <w:rPr>
          <w:rFonts w:cs="Calibri" w:ascii="Calibri" w:hAnsi="Calibri"/>
          <w:sz w:val="22"/>
          <w:szCs w:val="22"/>
        </w:rPr>
        <w:t xml:space="preserve">Reference: </w:t>
      </w:r>
      <w:r>
        <w:rPr>
          <w:rFonts w:cs="Calibri" w:ascii="Calibri" w:hAnsi="Calibri"/>
          <w:b w:val="false"/>
          <w:sz w:val="22"/>
          <w:szCs w:val="22"/>
        </w:rPr>
        <w:t xml:space="preserve">This field is used to reference an account number from a previous system.   </w:t>
      </w:r>
    </w:p>
    <w:p>
      <w:pPr>
        <w:pStyle w:val="Heading3"/>
        <w:keepNext w:val="false"/>
        <w:numPr>
          <w:ilvl w:val="1"/>
          <w:numId w:val="5"/>
        </w:numPr>
        <w:spacing w:before="120" w:after="0"/>
        <w:rPr>
          <w:rFonts w:ascii="Calibri" w:hAnsi="Calibri" w:cs="Calibri"/>
          <w:b w:val="false"/>
          <w:sz w:val="22"/>
          <w:szCs w:val="22"/>
        </w:rPr>
      </w:pPr>
      <w:r>
        <w:rPr>
          <w:rFonts w:cs="Calibri" w:ascii="Calibri" w:hAnsi="Calibri"/>
          <w:b w:val="false"/>
          <w:sz w:val="22"/>
          <w:szCs w:val="22"/>
        </w:rPr>
        <w:t xml:space="preserve">This field can also be used for </w:t>
      </w:r>
      <w:r>
        <w:rPr>
          <w:rFonts w:cs="Calibri" w:ascii="Calibri" w:hAnsi="Calibri"/>
          <w:sz w:val="22"/>
          <w:szCs w:val="22"/>
        </w:rPr>
        <w:t>John Deere</w:t>
      </w:r>
      <w:r>
        <w:rPr>
          <w:rFonts w:cs="Calibri" w:ascii="Calibri" w:hAnsi="Calibri"/>
          <w:b w:val="false"/>
          <w:sz w:val="22"/>
          <w:szCs w:val="22"/>
        </w:rPr>
        <w:t xml:space="preserve"> dealerships.  The entry of the John Deere account number here allows the extraction and submission of financial information to the manufacturer on a monthly basis.  </w:t>
      </w:r>
    </w:p>
    <w:p>
      <w:pPr>
        <w:pStyle w:val="Heading3"/>
        <w:keepNext w:val="false"/>
        <w:numPr>
          <w:ilvl w:val="0"/>
          <w:numId w:val="5"/>
        </w:numPr>
        <w:spacing w:before="120" w:after="0"/>
        <w:rPr>
          <w:rFonts w:ascii="Calibri" w:hAnsi="Calibri" w:cs="Calibri"/>
          <w:b w:val="false"/>
          <w:sz w:val="22"/>
          <w:szCs w:val="22"/>
        </w:rPr>
      </w:pPr>
      <w:r>
        <w:rPr>
          <w:rFonts w:cs="Calibri" w:ascii="Calibri" w:hAnsi="Calibri"/>
          <w:sz w:val="22"/>
          <w:szCs w:val="22"/>
        </w:rPr>
        <w:t xml:space="preserve">Tax Acct Grp: </w:t>
      </w:r>
      <w:r>
        <w:rPr>
          <w:rFonts w:cs="Calibri" w:ascii="Calibri" w:hAnsi="Calibri"/>
          <w:b w:val="false"/>
          <w:sz w:val="22"/>
          <w:szCs w:val="22"/>
        </w:rPr>
        <w:t xml:space="preserve">This field is used to define Sales Tax groups within the accounting system.  These groups feed the Sales Tax Group Report, which can be used to complete standard sales tax reports.  </w:t>
      </w:r>
    </w:p>
    <w:p>
      <w:pPr>
        <w:pStyle w:val="BodyText"/>
        <w:spacing w:before="120" w:after="0"/>
        <w:rPr>
          <w:rFonts w:ascii="Calibri" w:hAnsi="Calibri" w:cs="Calibri"/>
          <w:b/>
          <w:sz w:val="22"/>
          <w:szCs w:val="22"/>
        </w:rPr>
      </w:pPr>
      <w:r>
        <w:rPr>
          <w:rFonts w:cs="Calibri" w:ascii="Calibri" w:hAnsi="Calibri"/>
          <w:b/>
          <w:sz w:val="22"/>
          <w:szCs w:val="22"/>
        </w:rPr>
      </w:r>
    </w:p>
    <w:p>
      <w:pPr>
        <w:pStyle w:val="BodyText"/>
        <w:spacing w:before="120" w:after="0"/>
        <w:rPr>
          <w:rFonts w:ascii="Calibri" w:hAnsi="Calibri" w:cs="Calibri"/>
          <w:sz w:val="22"/>
          <w:szCs w:val="22"/>
        </w:rPr>
      </w:pPr>
      <w:r>
        <w:rPr>
          <w:rFonts w:eastAsia="Calibri" w:cs="Calibri" w:ascii="Calibri" w:hAnsi="Calibri"/>
          <w:sz w:val="22"/>
          <w:szCs w:val="22"/>
        </w:rPr>
        <w:t xml:space="preserve"> </w:t>
      </w:r>
    </w:p>
    <w:p>
      <w:pPr>
        <w:pStyle w:val="Heading3"/>
        <w:keepNext w:val="false"/>
        <w:spacing w:before="120" w:after="0"/>
        <w:ind w:hanging="0" w:left="0"/>
        <w:jc w:val="center"/>
        <w:rPr>
          <w:rFonts w:ascii="Calibri" w:hAnsi="Calibri" w:cs="Calibri"/>
          <w:b w:val="false"/>
          <w:sz w:val="22"/>
          <w:szCs w:val="22"/>
        </w:rPr>
      </w:pPr>
      <w:r>
        <w:rPr>
          <w:rFonts w:cs="Calibri" w:ascii="Calibri" w:hAnsi="Calibri"/>
          <w:b w:val="false"/>
          <w:sz w:val="22"/>
          <w:szCs w:val="22"/>
        </w:rPr>
        <w:drawing>
          <wp:inline distT="0" distB="0" distL="0" distR="0">
            <wp:extent cx="3905250" cy="28956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rcRect l="-9" t="-12" r="-9" b="-12"/>
                    <a:stretch>
                      <a:fillRect/>
                    </a:stretch>
                  </pic:blipFill>
                  <pic:spPr bwMode="auto">
                    <a:xfrm>
                      <a:off x="0" y="0"/>
                      <a:ext cx="3905250" cy="2895600"/>
                    </a:xfrm>
                    <a:prstGeom prst="rect">
                      <a:avLst/>
                    </a:prstGeom>
                    <a:noFill/>
                  </pic:spPr>
                </pic:pic>
              </a:graphicData>
            </a:graphic>
          </wp:inline>
        </w:drawing>
      </w:r>
    </w:p>
    <w:p>
      <w:pPr>
        <w:pStyle w:val="BodyText"/>
        <w:spacing w:before="120" w:after="0"/>
        <w:rPr>
          <w:rFonts w:ascii="Calibri" w:hAnsi="Calibri" w:cs="Calibri"/>
          <w:b/>
          <w:sz w:val="22"/>
          <w:szCs w:val="22"/>
        </w:rPr>
      </w:pPr>
      <w:r>
        <w:rPr>
          <w:rFonts w:cs="Calibri" w:ascii="Calibri" w:hAnsi="Calibri"/>
          <w:b/>
          <w:sz w:val="22"/>
          <w:szCs w:val="22"/>
        </w:rPr>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Ledger #1 - #12: </w:t>
      </w:r>
      <w:r>
        <w:rPr>
          <w:rFonts w:cs="Calibri" w:ascii="Calibri" w:hAnsi="Calibri"/>
          <w:b w:val="false"/>
          <w:sz w:val="22"/>
          <w:szCs w:val="22"/>
        </w:rPr>
        <w:t>This series of fields is used for the expense allocation feature.  In these fields, account numbers are entered that will receive the allocated entry passed to this general ledger account.</w:t>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Percent #1 - #12: </w:t>
      </w:r>
      <w:r>
        <w:rPr>
          <w:rFonts w:cs="Calibri" w:ascii="Calibri" w:hAnsi="Calibri"/>
          <w:b w:val="false"/>
          <w:sz w:val="22"/>
          <w:szCs w:val="22"/>
        </w:rPr>
        <w:t>This series of fields is used for the expense allocation feature.  In these fields, percentages are associated with each general ledger account to note the portion of the allocated entry passed to this general ledger account.</w:t>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Recon Bank ID: </w:t>
      </w:r>
      <w:r>
        <w:rPr>
          <w:rFonts w:cs="Calibri" w:ascii="Calibri" w:hAnsi="Calibri"/>
          <w:b w:val="false"/>
          <w:sz w:val="22"/>
          <w:szCs w:val="22"/>
        </w:rPr>
        <w:t>This field is used by the bank reconciliation program to indicate that this account is to be included in the reconciliation process.</w:t>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Alt Ref Act 1: </w:t>
      </w:r>
      <w:r>
        <w:rPr>
          <w:rFonts w:cs="Calibri" w:ascii="Calibri" w:hAnsi="Calibri"/>
          <w:b w:val="false"/>
          <w:sz w:val="22"/>
          <w:szCs w:val="22"/>
        </w:rPr>
        <w:t xml:space="preserve">This field is primarily used for </w:t>
      </w:r>
      <w:r>
        <w:rPr>
          <w:rFonts w:cs="Calibri" w:ascii="Calibri" w:hAnsi="Calibri"/>
          <w:sz w:val="22"/>
          <w:szCs w:val="22"/>
        </w:rPr>
        <w:t>CNH Case Dealers</w:t>
      </w:r>
      <w:r>
        <w:rPr>
          <w:rFonts w:cs="Calibri" w:ascii="Calibri" w:hAnsi="Calibri"/>
          <w:b w:val="false"/>
          <w:sz w:val="22"/>
          <w:szCs w:val="22"/>
        </w:rPr>
        <w:t xml:space="preserve"> who submit their financial statistics to CNH via their communications package.  It holds a CNH account number to cross-reference.</w:t>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Alt Ref Act 2: </w:t>
      </w:r>
      <w:r>
        <w:rPr>
          <w:rFonts w:cs="Calibri" w:ascii="Calibri" w:hAnsi="Calibri"/>
          <w:b w:val="false"/>
          <w:sz w:val="22"/>
          <w:szCs w:val="22"/>
        </w:rPr>
        <w:t xml:space="preserve">This field is primarily used for </w:t>
      </w:r>
      <w:r>
        <w:rPr>
          <w:rFonts w:cs="Calibri" w:ascii="Calibri" w:hAnsi="Calibri"/>
          <w:sz w:val="22"/>
          <w:szCs w:val="22"/>
        </w:rPr>
        <w:t>CNH New Holland Dealers</w:t>
      </w:r>
      <w:r>
        <w:rPr>
          <w:rFonts w:cs="Calibri" w:ascii="Calibri" w:hAnsi="Calibri"/>
          <w:b w:val="false"/>
          <w:sz w:val="22"/>
          <w:szCs w:val="22"/>
        </w:rPr>
        <w:t xml:space="preserve"> who submit their financial statistics to CNH via their communications package.  It holds a CNH account number to cross-reference.</w:t>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Sequence Code: </w:t>
      </w:r>
      <w:r>
        <w:rPr>
          <w:rFonts w:cs="Calibri" w:ascii="Calibri" w:hAnsi="Calibri"/>
          <w:b w:val="false"/>
          <w:sz w:val="22"/>
          <w:szCs w:val="22"/>
        </w:rPr>
        <w:t xml:space="preserve">This field is primarily used by </w:t>
      </w:r>
      <w:r>
        <w:rPr>
          <w:rFonts w:cs="Calibri" w:ascii="Calibri" w:hAnsi="Calibri"/>
          <w:sz w:val="22"/>
          <w:szCs w:val="22"/>
        </w:rPr>
        <w:t>International Truck</w:t>
      </w:r>
      <w:r>
        <w:rPr>
          <w:rFonts w:cs="Calibri" w:ascii="Calibri" w:hAnsi="Calibri"/>
          <w:b w:val="false"/>
          <w:sz w:val="22"/>
          <w:szCs w:val="22"/>
        </w:rPr>
        <w:t xml:space="preserve"> dealers.  It holds a sequence number to sort the chart of accounts.</w:t>
      </w:r>
    </w:p>
    <w:p>
      <w:pPr>
        <w:pStyle w:val="Heading2"/>
        <w:keepNext w:val="false"/>
        <w:numPr>
          <w:ilvl w:val="0"/>
          <w:numId w:val="4"/>
        </w:numPr>
        <w:spacing w:before="120" w:after="60"/>
        <w:rPr>
          <w:rFonts w:ascii="Calibri" w:hAnsi="Calibri" w:cs="Calibri"/>
          <w:b w:val="false"/>
          <w:sz w:val="22"/>
          <w:szCs w:val="22"/>
        </w:rPr>
      </w:pPr>
      <w:r>
        <w:rPr>
          <w:rFonts w:cs="Calibri" w:ascii="Calibri" w:hAnsi="Calibri"/>
          <w:sz w:val="22"/>
          <w:szCs w:val="22"/>
        </w:rPr>
        <w:t xml:space="preserve">Acct Class Code: </w:t>
      </w:r>
      <w:r>
        <w:rPr>
          <w:rFonts w:cs="Calibri" w:ascii="Calibri" w:hAnsi="Calibri"/>
          <w:b w:val="false"/>
          <w:sz w:val="22"/>
          <w:szCs w:val="22"/>
        </w:rPr>
        <w:t xml:space="preserve">This field is primarily used by </w:t>
      </w:r>
      <w:r>
        <w:rPr>
          <w:rFonts w:cs="Calibri" w:ascii="Calibri" w:hAnsi="Calibri"/>
          <w:sz w:val="22"/>
          <w:szCs w:val="22"/>
        </w:rPr>
        <w:t>International Truck</w:t>
      </w:r>
      <w:r>
        <w:rPr>
          <w:rFonts w:cs="Calibri" w:ascii="Calibri" w:hAnsi="Calibri"/>
          <w:b w:val="false"/>
          <w:sz w:val="22"/>
          <w:szCs w:val="22"/>
        </w:rPr>
        <w:t xml:space="preserve"> dealers.  It holds a reference code for month-end processing.</w:t>
      </w:r>
    </w:p>
    <w:sectPr>
      <w:headerReference w:type="default" r:id="rId5"/>
      <w:footerReference w:type="default" r:id="rId6"/>
      <w:type w:val="nextPage"/>
      <w:pgSz w:w="12240" w:h="15840"/>
      <w:pgMar w:left="1800" w:right="1800" w:gutter="0" w:header="720" w:top="1440" w:footer="720" w:bottom="1440"/>
      <w:pgNumType w:fmt="decimal"/>
      <w:formProt w:val="false"/>
      <w:textDirection w:val="lrTb"/>
      <w:docGrid w:type="default" w:linePitch="2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erdana">
    <w:charset w:val="00"/>
    <w:family w:val="swiss"/>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Calibri">
    <w:charset w:val="0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1"/>
      <w:rPr>
        <w:rStyle w:val="PageNumber"/>
        <w:rFonts w:eastAsia="Arial Unicode MS"/>
        <w:i/>
        <w:i/>
      </w:rPr>
    </w:pPr>
    <w:r>
      <w:rPr/>
      <w:t xml:space="preserve">NVRWA025-RWDBF </w:t>
    </w:r>
    <w:r>
      <w:rPr/>
      <w:fldChar w:fldCharType="begin"/>
    </w:r>
    <w:r>
      <w:rPr/>
      <w:instrText xml:space="preserve"> DATE \@"M\/d\/yyyy" </w:instrText>
    </w:r>
    <w:r>
      <w:rPr/>
      <w:fldChar w:fldCharType="separate"/>
    </w:r>
    <w:r>
      <w:rPr/>
      <w:t>1/17/2026</w:t>
    </w:r>
    <w:r>
      <w:rPr/>
      <w:fldChar w:fldCharType="end"/>
    </w:r>
    <w:r>
      <w:rPr/>
      <w:tab/>
    </w:r>
    <w:r>
      <w:rPr>
        <w:b/>
        <w:i w:val="false"/>
        <w:sz w:val="24"/>
      </w:rPr>
      <w:t>A025:</w:t>
    </w:r>
    <w:r>
      <w:rPr>
        <w:rStyle w:val="PageNumber"/>
        <w:i/>
        <w:sz w:val="24"/>
      </w:rPr>
      <w:fldChar w:fldCharType="begin"/>
    </w:r>
    <w:r>
      <w:rPr>
        <w:rStyle w:val="PageNumber"/>
        <w:sz w:val="24"/>
        <w:i/>
      </w:rPr>
      <w:instrText xml:space="preserve"> PAGE </w:instrText>
    </w:r>
    <w:r>
      <w:rPr>
        <w:rStyle w:val="PageNumber"/>
        <w:sz w:val="24"/>
        <w:i/>
      </w:rPr>
      <w:fldChar w:fldCharType="separate"/>
    </w:r>
    <w:r>
      <w:rPr>
        <w:rStyle w:val="PageNumber"/>
        <w:sz w:val="24"/>
        <w:i/>
      </w:rPr>
      <w:t>3</w:t>
    </w:r>
    <w:r>
      <w:rPr>
        <w:rStyle w:val="PageNumber"/>
        <w:sz w:val="24"/>
        <w:i/>
      </w:rPr>
      <w:fldChar w:fldCharType="end"/>
    </w:r>
  </w:p>
  <w:p>
    <w:pPr>
      <w:pStyle w:val="Footer"/>
      <w:rPr/>
    </w:pPr>
    <w:r>
      <w:rPr>
        <w:rStyle w:val="PageNumber"/>
      </w:rPr>
      <w:t>HBS Systems</w:t>
      <w:tab/>
      <w:tab/>
    </w:r>
    <w:r>
      <w:rPr>
        <w:rStyle w:val="PageNumber"/>
        <w:b w:val="false"/>
        <w:i/>
      </w:rPr>
      <w:t>RWDBF</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Style w:val="PageNumber"/>
        <w:b w:val="false"/>
        <w:bCs/>
      </w:rPr>
      <w:t>Appendix A – Database Files</w:t>
      <w:tab/>
    </w:r>
    <w:r>
      <w:rPr>
        <w:rStyle w:val="PageNumber"/>
        <w:b/>
        <w:bCs/>
      </w:rPr>
      <w:t>Report Writer</w:t>
    </w:r>
  </w:p>
  <w:p>
    <w:pPr>
      <w:pStyle w:val="Header"/>
      <w:rPr/>
    </w:pPr>
    <w:r>
      <w:rPr>
        <w:rStyle w:val="PageNumber"/>
        <w:b/>
        <w:bCs/>
      </w:rPr>
      <w:t>Netview</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NOTE:  "/>
      <w:lvlJc w:val="left"/>
      <w:pPr>
        <w:tabs>
          <w:tab w:val="num" w:pos="1080"/>
        </w:tabs>
        <w:ind w:left="360" w:hanging="360"/>
      </w:pPr>
      <w:rPr>
        <w:smallCaps w:val="false"/>
        <w:caps w:val="false"/>
        <w:outline w:val="false"/>
        <w:dstrike w:val="false"/>
        <w:strike w:val="false"/>
        <w:vertAlign w:val="baseline"/>
        <w:position w:val="0"/>
        <w:sz w:val="20"/>
        <w:sz w:val="20"/>
        <w:i w:val="false"/>
        <w:shadow w:val="false"/>
        <w:b/>
        <w:vanish w:val="false"/>
        <w:rFonts w:ascii="Verdana" w:hAnsi="Verdana" w:cs="Verdana"/>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Verdana" w:hAnsi="Verdana" w:eastAsia="Times New Roman" w:cs="Verdana"/>
      <w:color w:val="auto"/>
      <w:sz w:val="20"/>
      <w:szCs w:val="24"/>
      <w:lang w:val="en-US" w:bidi="ar-SA" w:eastAsia="zh-CN"/>
    </w:rPr>
  </w:style>
  <w:style w:type="paragraph" w:styleId="Heading1">
    <w:name w:val="heading 1"/>
    <w:basedOn w:val="Normal"/>
    <w:next w:val="Normal"/>
    <w:qFormat/>
    <w:pPr>
      <w:keepNext w:val="true"/>
      <w:numPr>
        <w:ilvl w:val="0"/>
        <w:numId w:val="1"/>
      </w:numPr>
      <w:jc w:val="both"/>
      <w:outlineLvl w:val="0"/>
    </w:pPr>
    <w:rPr>
      <w:rFonts w:ascii="Verdana" w:hAnsi="Verdana" w:cs="Verdana"/>
      <w:b/>
      <w:sz w:val="28"/>
    </w:rPr>
  </w:style>
  <w:style w:type="paragraph" w:styleId="Heading2">
    <w:name w:val="heading 2"/>
    <w:basedOn w:val="Normal"/>
    <w:next w:val="Body"/>
    <w:qFormat/>
    <w:pPr>
      <w:keepNext w:val="true"/>
      <w:numPr>
        <w:ilvl w:val="1"/>
        <w:numId w:val="1"/>
      </w:numPr>
      <w:spacing w:before="240" w:after="60"/>
      <w:jc w:val="both"/>
      <w:outlineLvl w:val="1"/>
    </w:pPr>
    <w:rPr>
      <w:rFonts w:ascii="Verdana" w:hAnsi="Verdana" w:cs="Verdana"/>
      <w:b/>
    </w:rPr>
  </w:style>
  <w:style w:type="paragraph" w:styleId="Heading3">
    <w:name w:val="heading 3"/>
    <w:basedOn w:val="Normal"/>
    <w:next w:val="BodyText"/>
    <w:qFormat/>
    <w:pPr>
      <w:keepNext w:val="true"/>
      <w:numPr>
        <w:ilvl w:val="2"/>
        <w:numId w:val="1"/>
      </w:numPr>
      <w:spacing w:before="240" w:after="0"/>
      <w:outlineLvl w:val="2"/>
    </w:pPr>
    <w:rPr>
      <w:b/>
    </w:rPr>
  </w:style>
  <w:style w:type="paragraph" w:styleId="Heading4">
    <w:name w:val="heading 4"/>
    <w:basedOn w:val="Normal"/>
    <w:next w:val="Normal"/>
    <w:qFormat/>
    <w:pPr>
      <w:keepNext w:val="true"/>
      <w:numPr>
        <w:ilvl w:val="3"/>
        <w:numId w:val="1"/>
      </w:numPr>
      <w:spacing w:before="240" w:after="0"/>
      <w:ind w:hanging="0" w:left="331" w:right="0"/>
      <w:jc w:val="both"/>
      <w:outlineLvl w:val="3"/>
    </w:pPr>
    <w:rPr>
      <w:rFonts w:ascii="Verdana" w:hAnsi="Verdana" w:cs="Verdana"/>
      <w:b/>
      <w:bCs/>
      <w:sz w:val="20"/>
      <w:szCs w:val="28"/>
    </w:rPr>
  </w:style>
  <w:style w:type="paragraph" w:styleId="Heading5">
    <w:name w:val="heading 5"/>
    <w:basedOn w:val="Normal"/>
    <w:next w:val="Normal"/>
    <w:qFormat/>
    <w:pPr>
      <w:numPr>
        <w:ilvl w:val="4"/>
        <w:numId w:val="1"/>
      </w:numPr>
      <w:spacing w:before="240" w:after="0"/>
      <w:ind w:hanging="0" w:left="691" w:right="0"/>
      <w:jc w:val="both"/>
      <w:outlineLvl w:val="4"/>
    </w:pPr>
    <w:rPr>
      <w:rFonts w:ascii="Verdana" w:hAnsi="Verdana" w:cs="Verdana"/>
      <w:b/>
      <w:bCs/>
      <w:iCs/>
      <w:sz w:val="20"/>
      <w:szCs w:val="26"/>
    </w:rPr>
  </w:style>
  <w:style w:type="character" w:styleId="WW8Num1z0">
    <w:name w:val="WW8Num1z0"/>
    <w:qFormat/>
    <w:rPr>
      <w:rFonts w:ascii="Verdana" w:hAnsi="Verdana" w:cs="Verdana"/>
      <w:b/>
      <w:i w:val="false"/>
      <w:caps w:val="false"/>
      <w:smallCaps w:val="false"/>
      <w:strike w:val="false"/>
      <w:dstrike w:val="false"/>
      <w:outline w:val="false"/>
      <w:shadow w:val="false"/>
      <w:vanish w:val="false"/>
      <w:position w:val="0"/>
      <w:sz w:val="20"/>
      <w:sz w:val="20"/>
      <w:vertAlign w:val="baseline"/>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DefaultParagraphFont">
    <w:name w:val="Default Paragraph Font"/>
    <w:qFormat/>
    <w:rPr/>
  </w:style>
  <w:style w:type="character" w:styleId="PageNumber">
    <w:name w:val="page number"/>
    <w:rPr>
      <w:rFonts w:ascii="Verdana" w:hAnsi="Verdana" w:cs="Verdana"/>
      <w:b/>
      <w:strike w:val="false"/>
      <w:dstrike w:val="false"/>
      <w:position w:val="0"/>
      <w:sz w:val="20"/>
      <w:sz w:val="20"/>
      <w:vertAlign w:val="baseline"/>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next w:val="Body"/>
    <w:pPr>
      <w:jc w:val="both"/>
    </w:pPr>
    <w:rPr>
      <w:rFonts w:ascii="Verdana" w:hAnsi="Verdana" w:cs="Verdana"/>
      <w:sz w:val="20"/>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ody">
    <w:name w:val="Body"/>
    <w:basedOn w:val="Normal"/>
    <w:qFormat/>
    <w:pPr>
      <w:spacing w:before="240" w:after="0"/>
      <w:jc w:val="both"/>
    </w:pPr>
    <w:rPr>
      <w:rFonts w:ascii="Verdana" w:hAnsi="Verdana" w:cs="Verdana"/>
      <w:sz w:val="20"/>
    </w:rPr>
  </w:style>
  <w:style w:type="paragraph" w:styleId="Command">
    <w:name w:val="Command"/>
    <w:basedOn w:val="Normal"/>
    <w:qFormat/>
    <w:pPr>
      <w:spacing w:before="240" w:after="0"/>
      <w:ind w:hanging="0" w:left="331" w:right="0"/>
      <w:jc w:val="both"/>
    </w:pPr>
    <w:rPr>
      <w:rFonts w:ascii="Verdana" w:hAnsi="Verdana" w:cs="Verdana"/>
      <w:b/>
      <w:sz w:val="20"/>
    </w:rPr>
  </w:style>
  <w:style w:type="paragraph" w:styleId="Continued">
    <w:name w:val="Continued"/>
    <w:basedOn w:val="Heading2"/>
    <w:qFormat/>
    <w:pPr>
      <w:numPr>
        <w:ilvl w:val="0"/>
        <w:numId w:val="0"/>
      </w:numPr>
      <w:spacing w:before="0" w:after="60"/>
      <w:jc w:val="both"/>
      <w:outlineLvl w:val="9"/>
    </w:pPr>
    <w:rPr>
      <w:rFonts w:ascii="Verdana" w:hAnsi="Verdana" w:cs="Times New Roman"/>
      <w:bCs/>
      <w:i/>
      <w:iCs/>
      <w:sz w:val="24"/>
      <w:szCs w:val="24"/>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jc w:val="both"/>
    </w:pPr>
    <w:rPr>
      <w:rFonts w:ascii="Verdana" w:hAnsi="Verdana" w:cs="Verdana"/>
      <w:sz w:val="20"/>
    </w:rPr>
  </w:style>
  <w:style w:type="paragraph" w:styleId="Footer1">
    <w:name w:val="Footer 1"/>
    <w:basedOn w:val="Footer"/>
    <w:qFormat/>
    <w:pPr>
      <w:tabs>
        <w:tab w:val="clear" w:pos="4320"/>
        <w:tab w:val="right" w:pos="8640" w:leader="none"/>
      </w:tabs>
    </w:pPr>
    <w:rPr>
      <w:i/>
      <w:sz w:val="16"/>
    </w:rPr>
  </w:style>
  <w:style w:type="paragraph" w:styleId="Header">
    <w:name w:val="header"/>
    <w:basedOn w:val="Normal"/>
    <w:pPr>
      <w:tabs>
        <w:tab w:val="clear" w:pos="720"/>
        <w:tab w:val="right" w:pos="8640" w:leader="none"/>
      </w:tabs>
      <w:jc w:val="both"/>
    </w:pPr>
    <w:rPr>
      <w:rFonts w:ascii="Verdana" w:hAnsi="Verdana" w:cs="Verdana"/>
      <w:b/>
      <w:i/>
      <w:sz w:val="20"/>
    </w:rPr>
  </w:style>
  <w:style w:type="paragraph" w:styleId="Indent">
    <w:name w:val="Indent"/>
    <w:basedOn w:val="Normal"/>
    <w:qFormat/>
    <w:pPr>
      <w:spacing w:before="240" w:after="0"/>
      <w:ind w:hanging="0" w:left="331" w:right="0"/>
      <w:jc w:val="both"/>
    </w:pPr>
    <w:rPr>
      <w:rFonts w:ascii="Verdana" w:hAnsi="Verdana" w:cs="Verdana"/>
      <w:sz w:val="20"/>
    </w:rPr>
  </w:style>
  <w:style w:type="paragraph" w:styleId="IndentText">
    <w:name w:val="Indent Text"/>
    <w:basedOn w:val="Indent"/>
    <w:qFormat/>
    <w:pPr>
      <w:spacing w:before="0" w:after="0"/>
    </w:pPr>
    <w:rPr/>
  </w:style>
  <w:style w:type="paragraph" w:styleId="Indent2">
    <w:name w:val="Indent2"/>
    <w:basedOn w:val="Indent"/>
    <w:qFormat/>
    <w:pPr>
      <w:ind w:hanging="0" w:left="696" w:right="0"/>
    </w:pPr>
    <w:rPr/>
  </w:style>
  <w:style w:type="paragraph" w:styleId="Indent2Text">
    <w:name w:val="Indent2 Text"/>
    <w:basedOn w:val="Indent2"/>
    <w:qFormat/>
    <w:pPr>
      <w:spacing w:before="0" w:after="0"/>
      <w:ind w:hanging="0" w:left="691" w:right="0"/>
    </w:pPr>
    <w:rPr/>
  </w:style>
  <w:style w:type="paragraph" w:styleId="Note">
    <w:name w:val="Note"/>
    <w:basedOn w:val="Normal"/>
    <w:next w:val="Body"/>
    <w:qFormat/>
    <w:pPr>
      <w:numPr>
        <w:ilvl w:val="0"/>
        <w:numId w:val="2"/>
      </w:numPr>
      <w:tabs>
        <w:tab w:val="clear" w:pos="720"/>
        <w:tab w:val="left" w:pos="888" w:leader="none"/>
      </w:tabs>
      <w:spacing w:before="240" w:after="0"/>
      <w:ind w:hanging="0" w:left="0" w:right="0"/>
    </w:pPr>
    <w:rPr/>
  </w:style>
  <w:style w:type="paragraph" w:styleId="Note2">
    <w:name w:val="Note2"/>
    <w:basedOn w:val="Note"/>
    <w:next w:val="Body"/>
    <w:qFormat/>
    <w:pPr>
      <w:numPr>
        <w:ilvl w:val="0"/>
        <w:numId w:val="0"/>
      </w:numPr>
      <w:tabs>
        <w:tab w:val="left" w:pos="888" w:leader="none"/>
        <w:tab w:val="left" w:pos="1248" w:leader="none"/>
      </w:tabs>
      <w:ind w:hanging="0" w:left="360" w:right="0"/>
    </w:pPr>
    <w:rPr/>
  </w:style>
  <w:style w:type="paragraph" w:styleId="Screen">
    <w:name w:val="Screen"/>
    <w:basedOn w:val="Normal"/>
    <w:qFormat/>
    <w:pPr>
      <w:jc w:val="left"/>
    </w:pPr>
    <w:rPr>
      <w:rFonts w:ascii="Courier New" w:hAnsi="Courier New" w:cs="Courier New"/>
      <w:b/>
      <w:sz w:val="18"/>
    </w:rPr>
  </w:style>
  <w:style w:type="paragraph" w:styleId="TOC1">
    <w:name w:val="toc 1"/>
    <w:basedOn w:val="Normal"/>
    <w:pPr>
      <w:tabs>
        <w:tab w:val="clear" w:pos="720"/>
        <w:tab w:val="right" w:pos="8640" w:leader="dot"/>
      </w:tabs>
      <w:spacing w:before="180" w:after="120"/>
    </w:pPr>
    <w:rPr>
      <w:b/>
    </w:rPr>
  </w:style>
  <w:style w:type="paragraph" w:styleId="TOC2">
    <w:name w:val="toc 2"/>
    <w:basedOn w:val="Normal"/>
    <w:pPr>
      <w:tabs>
        <w:tab w:val="clear" w:pos="720"/>
        <w:tab w:val="right" w:pos="8640" w:leader="dot"/>
      </w:tabs>
      <w:ind w:hanging="0" w:left="200" w:right="0"/>
    </w:pPr>
    <w:rPr/>
  </w:style>
  <w:style w:type="paragraph" w:styleId="TOCBase">
    <w:name w:val="TOC Base"/>
    <w:basedOn w:val="Heading2"/>
    <w:next w:val="TOC1"/>
    <w:qFormat/>
    <w:pPr>
      <w:numPr>
        <w:ilvl w:val="0"/>
        <w:numId w:val="0"/>
      </w:numPr>
      <w:tabs>
        <w:tab w:val="clear" w:pos="720"/>
        <w:tab w:val="right" w:pos="8640" w:leader="none"/>
      </w:tabs>
      <w:spacing w:before="0" w:after="0"/>
      <w:outlineLvl w:val="9"/>
    </w:pPr>
    <w:rPr>
      <w:sz w:val="24"/>
      <w:u w:val="single"/>
    </w:rPr>
  </w:style>
  <w:style w:type="paragraph" w:styleId="TOC3">
    <w:name w:val="TOC3"/>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2015-10-16T16:51:00Z</dcterms:created>
  <dc:creator>sdavis</dc:creator>
  <dc:description/>
  <cp:keywords/>
  <dc:language>en-US</dc:language>
  <cp:lastModifiedBy>Shelby Lund</cp:lastModifiedBy>
  <cp:lastPrinted>2008-10-21T10:47:00Z</cp:lastPrinted>
  <dcterms:modified xsi:type="dcterms:W3CDTF">2015-10-16T17:17:00Z</dcterms:modified>
  <cp:revision>4</cp:revision>
  <dc:subject/>
  <dc:title>General Ledger Balances Forward and History</dc:title>
</cp:coreProperties>
</file>