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spacing w:before="120" w:after="0"/>
        <w:rPr>
          <w:rFonts w:ascii="Calibri" w:hAnsi="Calibri" w:cs="Calibri"/>
          <w:b/>
          <w:bCs/>
          <w:sz w:val="28"/>
          <w:szCs w:val="28"/>
        </w:rPr>
      </w:pPr>
      <w:r>
        <w:rPr>
          <w:rFonts w:cs="Calibri" w:ascii="Calibri" w:hAnsi="Calibri"/>
          <w:b/>
          <w:bCs/>
          <w:sz w:val="28"/>
          <w:szCs w:val="28"/>
        </w:rPr>
        <w:t xml:space="preserve">Wholegoods Source: </w:t>
      </w:r>
      <w:r>
        <w:rPr>
          <w:rFonts w:cs="Calibri" w:ascii="Calibri" w:hAnsi="Calibri"/>
          <w:sz w:val="22"/>
          <w:szCs w:val="22"/>
        </w:rPr>
        <w:t>This file pulls information from the Wholegoods Source Master.</w:t>
      </w:r>
    </w:p>
    <w:p>
      <w:pPr>
        <w:pStyle w:val="BodyText"/>
        <w:spacing w:before="120" w:after="0"/>
        <w:jc w:val="left"/>
        <w:rPr>
          <w:rFonts w:ascii="Calibri" w:hAnsi="Calibri" w:cs="Calibri"/>
          <w:b/>
          <w:bCs/>
          <w:sz w:val="22"/>
          <w:szCs w:val="22"/>
        </w:rPr>
      </w:pPr>
      <w:r>
        <w:rPr>
          <w:rFonts w:cs="Calibri" w:ascii="Calibri" w:hAnsi="Calibri"/>
          <w:b/>
          <w:bCs/>
          <w:sz w:val="22"/>
          <w:szCs w:val="22"/>
        </w:rPr>
      </w:r>
    </w:p>
    <w:p>
      <w:pPr>
        <w:pStyle w:val="BodyText"/>
        <w:spacing w:before="120" w:after="0"/>
        <w:jc w:val="center"/>
        <w:rPr>
          <w:rFonts w:ascii="Calibri" w:hAnsi="Calibri" w:cs="Calibri"/>
          <w:b/>
          <w:bCs/>
          <w:sz w:val="22"/>
          <w:szCs w:val="22"/>
        </w:rPr>
      </w:pPr>
      <w:r>
        <w:rPr>
          <w:rFonts w:cs="Calibri" w:ascii="Calibri" w:hAnsi="Calibri"/>
          <w:b/>
          <w:bCs/>
          <w:sz w:val="22"/>
          <w:szCs w:val="22"/>
        </w:rPr>
        <w:drawing>
          <wp:inline distT="0" distB="0" distL="0" distR="0">
            <wp:extent cx="3981450" cy="2895600"/>
            <wp:effectExtent l="0" t="0" r="0" b="0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9" t="-12" r="-9" b="-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450" cy="2895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"/>
        <w:spacing w:before="120" w:after="0"/>
        <w:rPr>
          <w:rFonts w:ascii="Calibri" w:hAnsi="Calibri" w:cs="Calibri"/>
          <w:b/>
          <w:bCs/>
          <w:sz w:val="22"/>
          <w:szCs w:val="22"/>
        </w:rPr>
      </w:pPr>
      <w:r>
        <w:rPr>
          <w:rFonts w:cs="Calibri" w:ascii="Calibri" w:hAnsi="Calibri"/>
          <w:b/>
          <w:bCs/>
          <w:sz w:val="22"/>
          <w:szCs w:val="22"/>
        </w:rPr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SRC: </w:t>
      </w:r>
      <w:r>
        <w:rPr>
          <w:rFonts w:cs="Calibri" w:ascii="Calibri" w:hAnsi="Calibri"/>
          <w:b w:val="false"/>
          <w:sz w:val="22"/>
          <w:szCs w:val="22"/>
        </w:rPr>
        <w:t xml:space="preserve">This field holds the alphanumeric, 3-character Source Number for the selected source.  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Description: </w:t>
      </w:r>
      <w:r>
        <w:rPr>
          <w:rFonts w:cs="Calibri" w:ascii="Calibri" w:hAnsi="Calibri"/>
          <w:b w:val="false"/>
          <w:sz w:val="22"/>
          <w:szCs w:val="22"/>
        </w:rPr>
        <w:t xml:space="preserve">This field describes the wholegoods source selected.   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New Taxable Sales: </w:t>
      </w:r>
      <w:r>
        <w:rPr>
          <w:rFonts w:cs="Calibri" w:ascii="Calibri" w:hAnsi="Calibri"/>
          <w:b w:val="false"/>
          <w:sz w:val="22"/>
          <w:szCs w:val="22"/>
        </w:rPr>
        <w:t xml:space="preserve">This field holds the general ledger account where taxable sales of new equipment for this source should be directed.   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New Taxable Cost: </w:t>
      </w:r>
      <w:r>
        <w:rPr>
          <w:rFonts w:cs="Calibri" w:ascii="Calibri" w:hAnsi="Calibri"/>
          <w:b w:val="false"/>
          <w:sz w:val="22"/>
          <w:szCs w:val="22"/>
        </w:rPr>
        <w:t xml:space="preserve">This field holds the general ledger account where the cost of sales for taxable sales of new equipment for this source should be directed.   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New Inventory: </w:t>
      </w:r>
      <w:r>
        <w:rPr>
          <w:rFonts w:cs="Calibri" w:ascii="Calibri" w:hAnsi="Calibri"/>
          <w:b w:val="false"/>
          <w:sz w:val="22"/>
          <w:szCs w:val="22"/>
        </w:rPr>
        <w:t xml:space="preserve">This field holds the general ledger account where the inventory of new equipment for this source should be directed.   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Used Taxable Sales: </w:t>
      </w:r>
      <w:r>
        <w:rPr>
          <w:rFonts w:cs="Calibri" w:ascii="Calibri" w:hAnsi="Calibri"/>
          <w:b w:val="false"/>
          <w:sz w:val="22"/>
          <w:szCs w:val="22"/>
        </w:rPr>
        <w:t xml:space="preserve">This field holds the general ledger account where taxable sales of used equipment for this source should be directed.   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Used Taxable Cost: </w:t>
      </w:r>
      <w:r>
        <w:rPr>
          <w:rFonts w:cs="Calibri" w:ascii="Calibri" w:hAnsi="Calibri"/>
          <w:b w:val="false"/>
          <w:sz w:val="22"/>
          <w:szCs w:val="22"/>
        </w:rPr>
        <w:t>This field holds the general ledger account where the cost of sales for taxable sales of used equipment for this source should be directed.</w:t>
      </w:r>
      <w:r>
        <w:rPr>
          <w:rFonts w:cs="Calibri" w:ascii="Calibri" w:hAnsi="Calibri"/>
          <w:sz w:val="22"/>
          <w:szCs w:val="22"/>
        </w:rPr>
        <w:t xml:space="preserve">   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Used Inventory: </w:t>
      </w:r>
      <w:r>
        <w:rPr>
          <w:rFonts w:cs="Calibri" w:ascii="Calibri" w:hAnsi="Calibri"/>
          <w:b w:val="false"/>
          <w:sz w:val="22"/>
          <w:szCs w:val="22"/>
        </w:rPr>
        <w:t xml:space="preserve">This field holds the general ledger account where the inventory of used equipment for this source should be directed.   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Cash In Bank: </w:t>
      </w:r>
      <w:r>
        <w:rPr>
          <w:rFonts w:cs="Calibri" w:ascii="Calibri" w:hAnsi="Calibri"/>
          <w:b w:val="false"/>
          <w:sz w:val="22"/>
          <w:szCs w:val="22"/>
        </w:rPr>
        <w:t xml:space="preserve">The Cash in Bank field is used at the time of purchasing a wholegood.  If you paid for the wholegood (or a portion of it) with a check at the time of purchase, the system will automatically credit the account number shown in this field. 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New Notes Payable: </w:t>
      </w:r>
      <w:r>
        <w:rPr>
          <w:rFonts w:cs="Calibri" w:ascii="Calibri" w:hAnsi="Calibri"/>
          <w:b w:val="false"/>
          <w:sz w:val="22"/>
          <w:szCs w:val="22"/>
        </w:rPr>
        <w:t>This field holds the general ledger account where notes payable amounts for new equipment for this source should be directed.</w:t>
      </w:r>
      <w:r>
        <w:rPr>
          <w:rFonts w:cs="Calibri" w:ascii="Calibri" w:hAnsi="Calibri"/>
          <w:sz w:val="22"/>
          <w:szCs w:val="22"/>
        </w:rPr>
        <w:t xml:space="preserve">   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Used Notes Payable: </w:t>
      </w:r>
      <w:r>
        <w:rPr>
          <w:rFonts w:cs="Calibri" w:ascii="Calibri" w:hAnsi="Calibri"/>
          <w:b w:val="false"/>
          <w:sz w:val="22"/>
          <w:szCs w:val="22"/>
        </w:rPr>
        <w:t>This field holds the general ledger account where notes payable amounts for used equipment for this source should be directed.</w:t>
      </w:r>
      <w:r>
        <w:rPr>
          <w:rFonts w:cs="Calibri" w:ascii="Calibri" w:hAnsi="Calibri"/>
          <w:sz w:val="22"/>
          <w:szCs w:val="22"/>
        </w:rPr>
        <w:t xml:space="preserve">   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After Sales Expense: </w:t>
      </w:r>
      <w:r>
        <w:rPr>
          <w:rFonts w:cs="Calibri" w:ascii="Calibri" w:hAnsi="Calibri"/>
          <w:b w:val="false"/>
          <w:sz w:val="22"/>
          <w:szCs w:val="22"/>
        </w:rPr>
        <w:t xml:space="preserve">This field is used for any expense that is associated with a specific </w:t>
      </w:r>
      <w:r>
        <w:rPr>
          <w:rFonts w:cs="Calibri" w:ascii="Calibri" w:hAnsi="Calibri"/>
          <w:b w:val="false"/>
          <w:sz w:val="22"/>
          <w:szCs w:val="22"/>
          <w:u w:val="single"/>
        </w:rPr>
        <w:t>sold</w:t>
      </w:r>
      <w:r>
        <w:rPr>
          <w:rFonts w:cs="Calibri" w:ascii="Calibri" w:hAnsi="Calibri"/>
          <w:b w:val="false"/>
          <w:sz w:val="22"/>
          <w:szCs w:val="22"/>
        </w:rPr>
        <w:t xml:space="preserve"> unit (i.e. prep for delivery, detail work, oil change, etc.).</w:t>
      </w:r>
      <w:r>
        <w:rPr>
          <w:rFonts w:cs="Calibri" w:ascii="Calibri" w:hAnsi="Calibri"/>
          <w:sz w:val="22"/>
          <w:szCs w:val="22"/>
        </w:rPr>
        <w:t xml:space="preserve">   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New Non-tax Sales: </w:t>
      </w:r>
      <w:r>
        <w:rPr>
          <w:rFonts w:cs="Calibri" w:ascii="Calibri" w:hAnsi="Calibri"/>
          <w:b w:val="false"/>
          <w:sz w:val="22"/>
          <w:szCs w:val="22"/>
        </w:rPr>
        <w:t xml:space="preserve">This field holds the general ledger account where nontaxable sales of new equipment for this source should be directed.   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New Non-tax Cost: </w:t>
      </w:r>
      <w:r>
        <w:rPr>
          <w:rFonts w:cs="Calibri" w:ascii="Calibri" w:hAnsi="Calibri"/>
          <w:b w:val="false"/>
          <w:sz w:val="22"/>
          <w:szCs w:val="22"/>
        </w:rPr>
        <w:t>This field holds the general ledger account where the cost of sales for taxable sales of new equipment for this source should be directed.</w:t>
      </w:r>
      <w:r>
        <w:rPr>
          <w:rFonts w:cs="Calibri" w:ascii="Calibri" w:hAnsi="Calibri"/>
          <w:sz w:val="22"/>
          <w:szCs w:val="22"/>
        </w:rPr>
        <w:t xml:space="preserve">   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Used Non-tax Sales: </w:t>
      </w:r>
      <w:r>
        <w:rPr>
          <w:rFonts w:cs="Calibri" w:ascii="Calibri" w:hAnsi="Calibri"/>
          <w:b w:val="false"/>
          <w:sz w:val="22"/>
          <w:szCs w:val="22"/>
        </w:rPr>
        <w:t xml:space="preserve">This field holds the general ledger account where nontaxable sales of used equipment for this source should be directed.   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Used Non-tax Cost: </w:t>
      </w:r>
      <w:r>
        <w:rPr>
          <w:rFonts w:cs="Calibri" w:ascii="Calibri" w:hAnsi="Calibri"/>
          <w:b w:val="false"/>
          <w:sz w:val="22"/>
          <w:szCs w:val="22"/>
        </w:rPr>
        <w:t>This field holds the general ledger account where the cost of sales for non-taxable sales of used equipment for this source should be directed.</w:t>
      </w:r>
      <w:r>
        <w:rPr>
          <w:rFonts w:cs="Calibri" w:ascii="Calibri" w:hAnsi="Calibri"/>
          <w:sz w:val="22"/>
          <w:szCs w:val="22"/>
        </w:rPr>
        <w:t xml:space="preserve">   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Rental Income: </w:t>
      </w:r>
      <w:r>
        <w:rPr>
          <w:rFonts w:cs="Calibri" w:ascii="Calibri" w:hAnsi="Calibri"/>
          <w:b w:val="false"/>
          <w:sz w:val="22"/>
          <w:szCs w:val="22"/>
        </w:rPr>
        <w:t>This field is no longer used.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Rental Cost/Dep: </w:t>
      </w:r>
      <w:r>
        <w:rPr>
          <w:rFonts w:cs="Calibri" w:ascii="Calibri" w:hAnsi="Calibri"/>
          <w:b w:val="false"/>
          <w:sz w:val="22"/>
          <w:szCs w:val="22"/>
        </w:rPr>
        <w:t>This field is no longer used.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Overallowance: </w:t>
      </w:r>
      <w:r>
        <w:rPr>
          <w:rFonts w:cs="Calibri" w:ascii="Calibri" w:hAnsi="Calibri"/>
          <w:b w:val="false"/>
          <w:sz w:val="22"/>
          <w:szCs w:val="22"/>
        </w:rPr>
        <w:t>This field holds the general ledger account where the amount of a trade-in over-allowance will be directed.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Depreciation: </w:t>
      </w:r>
      <w:r>
        <w:rPr>
          <w:rFonts w:cs="Calibri" w:ascii="Calibri" w:hAnsi="Calibri"/>
          <w:b w:val="false"/>
          <w:sz w:val="22"/>
          <w:szCs w:val="22"/>
        </w:rPr>
        <w:t>This field is reserved for future use.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New Depreciation: </w:t>
      </w:r>
      <w:r>
        <w:rPr>
          <w:rFonts w:cs="Calibri" w:ascii="Calibri" w:hAnsi="Calibri"/>
          <w:b w:val="false"/>
          <w:sz w:val="22"/>
          <w:szCs w:val="22"/>
        </w:rPr>
        <w:t xml:space="preserve">This field holds the general ledger account where the “debit” or depreciation expense for new equipment for this source should be directed. 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Used Depreciation: </w:t>
      </w:r>
      <w:r>
        <w:rPr>
          <w:rFonts w:cs="Calibri" w:ascii="Calibri" w:hAnsi="Calibri"/>
          <w:b w:val="false"/>
          <w:sz w:val="22"/>
          <w:szCs w:val="22"/>
        </w:rPr>
        <w:t>This field holds the general ledger account where the “debit” or depreciation expense for used equipment for this source should be directed.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Rental Taxable Cost: </w:t>
      </w:r>
      <w:r>
        <w:rPr>
          <w:rFonts w:cs="Calibri" w:ascii="Calibri" w:hAnsi="Calibri"/>
          <w:b w:val="false"/>
          <w:sz w:val="22"/>
          <w:szCs w:val="22"/>
        </w:rPr>
        <w:t>This field is no longer used.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Rental Non-tax Sale: </w:t>
      </w:r>
      <w:r>
        <w:rPr>
          <w:rFonts w:cs="Calibri" w:ascii="Calibri" w:hAnsi="Calibri"/>
          <w:b w:val="false"/>
          <w:sz w:val="22"/>
          <w:szCs w:val="22"/>
        </w:rPr>
        <w:t>This field is no longer used.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Rental Non-tax Cost: </w:t>
      </w:r>
      <w:r>
        <w:rPr>
          <w:rFonts w:cs="Calibri" w:ascii="Calibri" w:hAnsi="Calibri"/>
          <w:b w:val="false"/>
          <w:sz w:val="22"/>
          <w:szCs w:val="22"/>
        </w:rPr>
        <w:t>This field is no longer used.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Rental Inventory: </w:t>
      </w:r>
      <w:r>
        <w:rPr>
          <w:rFonts w:cs="Calibri" w:ascii="Calibri" w:hAnsi="Calibri"/>
          <w:b w:val="false"/>
          <w:sz w:val="22"/>
          <w:szCs w:val="22"/>
        </w:rPr>
        <w:t>This field holds the general ledger account number for the Inventory Account where the value of the Rental Units for this source is kept.</w:t>
      </w:r>
    </w:p>
    <w:p>
      <w:pPr>
        <w:pStyle w:val="Body"/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</w:r>
    </w:p>
    <w:p>
      <w:pPr>
        <w:pStyle w:val="Heading3"/>
        <w:keepNext w:val="false"/>
        <w:spacing w:before="120" w:after="0"/>
        <w:ind w:hanging="0" w:left="0"/>
        <w:jc w:val="center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drawing>
          <wp:inline distT="0" distB="0" distL="0" distR="0">
            <wp:extent cx="4067810" cy="2972435"/>
            <wp:effectExtent l="0" t="0" r="0" b="0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9" t="-12" r="-9" b="-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810" cy="29724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spacing w:before="120" w:after="0"/>
        <w:rPr>
          <w:rFonts w:ascii="Calibri" w:hAnsi="Calibri" w:cs="Calibri"/>
          <w:b/>
          <w:sz w:val="22"/>
          <w:szCs w:val="22"/>
        </w:rPr>
      </w:pPr>
      <w:r>
        <w:rPr>
          <w:rFonts w:cs="Calibri" w:ascii="Calibri" w:hAnsi="Calibri"/>
          <w:b/>
          <w:sz w:val="22"/>
          <w:szCs w:val="22"/>
        </w:rPr>
      </w:r>
    </w:p>
    <w:p>
      <w:pPr>
        <w:pStyle w:val="Heading3"/>
        <w:keepNext w:val="false"/>
        <w:numPr>
          <w:ilvl w:val="0"/>
          <w:numId w:val="4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Rental Notes Payable: </w:t>
      </w:r>
      <w:r>
        <w:rPr>
          <w:rFonts w:cs="Calibri" w:ascii="Calibri" w:hAnsi="Calibri"/>
          <w:b w:val="false"/>
          <w:sz w:val="22"/>
          <w:szCs w:val="22"/>
        </w:rPr>
        <w:t>This field holds the general ledger account number for the Notes Payable Account where the liability of the Rental Units for this source is kept.</w:t>
      </w:r>
    </w:p>
    <w:p>
      <w:pPr>
        <w:pStyle w:val="Heading3"/>
        <w:keepNext w:val="false"/>
        <w:numPr>
          <w:ilvl w:val="0"/>
          <w:numId w:val="4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Rental Depreciation: </w:t>
      </w:r>
      <w:r>
        <w:rPr>
          <w:rFonts w:cs="Calibri" w:ascii="Calibri" w:hAnsi="Calibri"/>
          <w:b w:val="false"/>
          <w:sz w:val="22"/>
          <w:szCs w:val="22"/>
        </w:rPr>
        <w:t>This field is no longer used.</w:t>
      </w:r>
    </w:p>
    <w:p>
      <w:pPr>
        <w:pStyle w:val="Heading3"/>
        <w:keepNext w:val="false"/>
        <w:numPr>
          <w:ilvl w:val="0"/>
          <w:numId w:val="4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Rental Deposit: </w:t>
      </w:r>
      <w:r>
        <w:rPr>
          <w:rFonts w:cs="Calibri" w:ascii="Calibri" w:hAnsi="Calibri"/>
          <w:b w:val="false"/>
          <w:sz w:val="22"/>
          <w:szCs w:val="22"/>
        </w:rPr>
        <w:t>This field is no longer used.</w:t>
      </w:r>
    </w:p>
    <w:p>
      <w:pPr>
        <w:pStyle w:val="Heading3"/>
        <w:keepNext w:val="false"/>
        <w:numPr>
          <w:ilvl w:val="0"/>
          <w:numId w:val="4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Rental Damage Waiver: </w:t>
      </w:r>
      <w:r>
        <w:rPr>
          <w:rFonts w:cs="Calibri" w:ascii="Calibri" w:hAnsi="Calibri"/>
          <w:b w:val="false"/>
          <w:sz w:val="22"/>
          <w:szCs w:val="22"/>
        </w:rPr>
        <w:t>This field is no longer used.</w:t>
      </w:r>
    </w:p>
    <w:p>
      <w:pPr>
        <w:pStyle w:val="Heading3"/>
        <w:keepNext w:val="false"/>
        <w:numPr>
          <w:ilvl w:val="0"/>
          <w:numId w:val="4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Rental Delivery/Setup: </w:t>
      </w:r>
      <w:r>
        <w:rPr>
          <w:rFonts w:cs="Calibri" w:ascii="Calibri" w:hAnsi="Calibri"/>
          <w:b w:val="false"/>
          <w:sz w:val="22"/>
          <w:szCs w:val="22"/>
        </w:rPr>
        <w:t>This field is no longer used.</w:t>
      </w:r>
    </w:p>
    <w:p>
      <w:pPr>
        <w:pStyle w:val="Heading3"/>
        <w:keepNext w:val="false"/>
        <w:numPr>
          <w:ilvl w:val="0"/>
          <w:numId w:val="4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Rental Accrued N/P: </w:t>
      </w:r>
      <w:r>
        <w:rPr>
          <w:rFonts w:cs="Calibri" w:ascii="Calibri" w:hAnsi="Calibri"/>
          <w:b w:val="false"/>
          <w:sz w:val="22"/>
          <w:szCs w:val="22"/>
        </w:rPr>
        <w:t>This field is no longer used.</w:t>
      </w:r>
    </w:p>
    <w:p>
      <w:pPr>
        <w:pStyle w:val="Heading3"/>
        <w:keepNext w:val="false"/>
        <w:numPr>
          <w:ilvl w:val="0"/>
          <w:numId w:val="4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RLS Taxable Sales: </w:t>
      </w:r>
      <w:r>
        <w:rPr>
          <w:rFonts w:cs="Calibri" w:ascii="Calibri" w:hAnsi="Calibri"/>
          <w:b w:val="false"/>
          <w:sz w:val="22"/>
          <w:szCs w:val="22"/>
        </w:rPr>
        <w:t>This field is holds the Sale Account when a Rental Unit from this source is being sold while in the Rental System and the transaction is taxable.</w:t>
      </w:r>
    </w:p>
    <w:p>
      <w:pPr>
        <w:pStyle w:val="Heading3"/>
        <w:keepNext w:val="false"/>
        <w:numPr>
          <w:ilvl w:val="0"/>
          <w:numId w:val="4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RLS Taxable Cost: </w:t>
      </w:r>
      <w:r>
        <w:rPr>
          <w:rFonts w:cs="Calibri" w:ascii="Calibri" w:hAnsi="Calibri"/>
          <w:b w:val="false"/>
          <w:sz w:val="22"/>
          <w:szCs w:val="22"/>
        </w:rPr>
        <w:t>This field holds the Cost Account to be used when a Rental Unit from this source is being sold while in the Rental System and the transaction is taxable.</w:t>
      </w:r>
    </w:p>
    <w:p>
      <w:pPr>
        <w:pStyle w:val="Heading3"/>
        <w:keepNext w:val="false"/>
        <w:numPr>
          <w:ilvl w:val="0"/>
          <w:numId w:val="4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RLS Non-tax Sales: </w:t>
      </w:r>
      <w:r>
        <w:rPr>
          <w:rFonts w:cs="Calibri" w:ascii="Calibri" w:hAnsi="Calibri"/>
          <w:b w:val="false"/>
          <w:sz w:val="22"/>
          <w:szCs w:val="22"/>
        </w:rPr>
        <w:t>This field holds the Sale Account to be used when a Rental Unit from this source is being sold while in the Rental System and the transaction is nontaxable.</w:t>
      </w:r>
    </w:p>
    <w:p>
      <w:pPr>
        <w:pStyle w:val="Heading3"/>
        <w:keepNext w:val="false"/>
        <w:numPr>
          <w:ilvl w:val="0"/>
          <w:numId w:val="4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RLS Non-tax Cost: </w:t>
      </w:r>
      <w:r>
        <w:rPr>
          <w:rFonts w:cs="Calibri" w:ascii="Calibri" w:hAnsi="Calibri"/>
          <w:b w:val="false"/>
          <w:sz w:val="22"/>
          <w:szCs w:val="22"/>
        </w:rPr>
        <w:t>This field holds the Cost Account to be used when a Rental Unit from this source is being sold while in the Rental System and the transaction is nontaxable.</w:t>
      </w:r>
    </w:p>
    <w:p>
      <w:pPr>
        <w:pStyle w:val="Heading3"/>
        <w:keepNext w:val="false"/>
        <w:numPr>
          <w:ilvl w:val="0"/>
          <w:numId w:val="4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RLS Accum Depr: </w:t>
      </w:r>
      <w:r>
        <w:rPr>
          <w:rFonts w:cs="Calibri" w:ascii="Calibri" w:hAnsi="Calibri"/>
          <w:b w:val="false"/>
          <w:sz w:val="22"/>
          <w:szCs w:val="22"/>
        </w:rPr>
        <w:t>This field is no longer used.</w:t>
      </w:r>
    </w:p>
    <w:p>
      <w:pPr>
        <w:pStyle w:val="Body"/>
        <w:numPr>
          <w:ilvl w:val="0"/>
          <w:numId w:val="4"/>
        </w:numPr>
        <w:spacing w:before="120" w:after="0"/>
        <w:rPr>
          <w:rFonts w:ascii="Calibri" w:hAnsi="Calibri" w:cs="Calibri"/>
          <w:b/>
          <w:sz w:val="22"/>
          <w:szCs w:val="22"/>
        </w:rPr>
      </w:pPr>
      <w:r>
        <w:rPr>
          <w:rFonts w:cs="Calibri" w:ascii="Calibri" w:hAnsi="Calibri"/>
          <w:b/>
          <w:sz w:val="22"/>
          <w:szCs w:val="22"/>
        </w:rPr>
        <w:t xml:space="preserve">Storeid: </w:t>
      </w:r>
      <w:r>
        <w:rPr>
          <w:rFonts w:cs="Calibri" w:ascii="Calibri" w:hAnsi="Calibri"/>
          <w:sz w:val="22"/>
          <w:szCs w:val="22"/>
        </w:rPr>
        <w:t>This field shows the store ID where the Rental Unit was rented from.</w:t>
      </w:r>
    </w:p>
    <w:sectPr>
      <w:headerReference w:type="default" r:id="rId4"/>
      <w:footerReference w:type="default" r:id="rId5"/>
      <w:type w:val="nextPage"/>
      <w:pgSz w:w="12240" w:h="15840"/>
      <w:pgMar w:left="1800" w:right="1800" w:gutter="0" w:header="720" w:top="1440" w:footer="720" w:bottom="1440"/>
      <w:pgNumType w:fmt="decimal"/>
      <w:formProt w:val="false"/>
      <w:textDirection w:val="lrTb"/>
      <w:docGrid w:type="default" w:linePitch="2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Verdana">
    <w:charset w:val="00"/>
    <w:family w:val="swiss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/>
    <w:family w:val="swiss"/>
    <w:pitch w:val="variable"/>
  </w:font>
  <w:font w:name="Calibri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1"/>
      <w:rPr>
        <w:rStyle w:val="PageNumber"/>
        <w:b w:val="false"/>
        <w:sz w:val="16"/>
      </w:rPr>
    </w:pPr>
    <w:r>
      <w:rPr/>
      <w:t xml:space="preserve">NVRWA028-RWDBF </w:t>
    </w:r>
    <w:r>
      <w:rPr/>
      <w:fldChar w:fldCharType="begin"/>
    </w:r>
    <w:r>
      <w:rPr/>
      <w:instrText xml:space="preserve"> DATE \@"M\/d\/yyyy" </w:instrText>
    </w:r>
    <w:r>
      <w:rPr/>
      <w:fldChar w:fldCharType="separate"/>
    </w:r>
    <w:r>
      <w:rPr/>
      <w:t>1/17/2026</w:t>
    </w:r>
    <w:r>
      <w:rPr/>
      <w:fldChar w:fldCharType="end"/>
    </w:r>
    <w:r>
      <w:rPr/>
      <w:tab/>
    </w:r>
    <w:r>
      <w:rPr>
        <w:b/>
        <w:i w:val="false"/>
        <w:sz w:val="24"/>
      </w:rPr>
      <w:t>A028:</w:t>
    </w:r>
    <w:r>
      <w:rPr>
        <w:rStyle w:val="PageNumber"/>
        <w:i/>
        <w:sz w:val="24"/>
      </w:rPr>
      <w:fldChar w:fldCharType="begin"/>
    </w:r>
    <w:r>
      <w:rPr>
        <w:rStyle w:val="PageNumber"/>
        <w:sz w:val="24"/>
        <w:i/>
      </w:rPr>
      <w:instrText xml:space="preserve"> PAGE </w:instrText>
    </w:r>
    <w:r>
      <w:rPr>
        <w:rStyle w:val="PageNumber"/>
        <w:sz w:val="24"/>
        <w:i/>
      </w:rPr>
      <w:fldChar w:fldCharType="separate"/>
    </w:r>
    <w:r>
      <w:rPr>
        <w:rStyle w:val="PageNumber"/>
        <w:sz w:val="24"/>
        <w:i/>
      </w:rPr>
      <w:t>3</w:t>
    </w:r>
    <w:r>
      <w:rPr>
        <w:rStyle w:val="PageNumber"/>
        <w:sz w:val="24"/>
        <w:i/>
      </w:rPr>
      <w:fldChar w:fldCharType="end"/>
    </w:r>
  </w:p>
  <w:p>
    <w:pPr>
      <w:pStyle w:val="Footer"/>
      <w:rPr/>
    </w:pPr>
    <w:r>
      <w:rPr>
        <w:rStyle w:val="PageNumber"/>
      </w:rPr>
      <w:t>HBS Systems</w:t>
      <w:tab/>
      <w:tab/>
    </w:r>
    <w:r>
      <w:rPr>
        <w:rStyle w:val="PageNumber"/>
        <w:b w:val="false"/>
        <w:i/>
      </w:rPr>
      <w:t>RWDBF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rStyle w:val="PageNumber"/>
        <w:bCs/>
      </w:rPr>
    </w:pPr>
    <w:r>
      <w:rPr>
        <w:rStyle w:val="PageNumber"/>
        <w:b w:val="false"/>
        <w:bCs/>
      </w:rPr>
      <w:t>Appendix A – Database File</w:t>
      <w:tab/>
    </w:r>
    <w:r>
      <w:rPr>
        <w:rStyle w:val="PageNumber"/>
        <w:b/>
        <w:bCs/>
      </w:rPr>
      <w:t>Report Writer</w:t>
    </w:r>
  </w:p>
  <w:p>
    <w:pPr>
      <w:pStyle w:val="Header"/>
      <w:rPr/>
    </w:pPr>
    <w:r>
      <w:rPr>
        <w:rStyle w:val="PageNumber"/>
        <w:b/>
        <w:bCs/>
      </w:rPr>
      <w:t>Netview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pStyle w:val="Heading5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none"/>
      <w:suff w:val="nothing"/>
      <w:lvlText w:val="NOTE:  "/>
      <w:lvlJc w:val="left"/>
      <w:pPr>
        <w:tabs>
          <w:tab w:val="num" w:pos="1080"/>
        </w:tabs>
        <w:ind w:left="360" w:hanging="36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i w:val="false"/>
        <w:shadow w:val="false"/>
        <w:b/>
        <w:vanish w:val="false"/>
        <w:rFonts w:ascii="Verdana" w:hAnsi="Verdana" w:cs="Verdana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jc w:val="both"/>
    </w:pPr>
    <w:rPr>
      <w:rFonts w:ascii="Verdana" w:hAnsi="Verdana" w:eastAsia="Times New Roman" w:cs="Verdana"/>
      <w:color w:val="auto"/>
      <w:sz w:val="20"/>
      <w:szCs w:val="24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both"/>
      <w:outlineLvl w:val="0"/>
    </w:pPr>
    <w:rPr>
      <w:rFonts w:ascii="Verdana" w:hAnsi="Verdana" w:cs="Verdana"/>
      <w:b/>
      <w:sz w:val="28"/>
    </w:rPr>
  </w:style>
  <w:style w:type="paragraph" w:styleId="Heading2">
    <w:name w:val="heading 2"/>
    <w:basedOn w:val="Normal"/>
    <w:next w:val="Body"/>
    <w:qFormat/>
    <w:pPr>
      <w:keepNext w:val="true"/>
      <w:numPr>
        <w:ilvl w:val="1"/>
        <w:numId w:val="1"/>
      </w:numPr>
      <w:spacing w:before="240" w:after="60"/>
      <w:jc w:val="both"/>
      <w:outlineLvl w:val="1"/>
    </w:pPr>
    <w:rPr>
      <w:rFonts w:ascii="Verdana" w:hAnsi="Verdana" w:cs="Verdana"/>
      <w:b/>
    </w:rPr>
  </w:style>
  <w:style w:type="paragraph" w:styleId="Heading3">
    <w:name w:val="heading 3"/>
    <w:basedOn w:val="Normal"/>
    <w:next w:val="BodyText"/>
    <w:qFormat/>
    <w:pPr>
      <w:keepNext w:val="true"/>
      <w:numPr>
        <w:ilvl w:val="2"/>
        <w:numId w:val="1"/>
      </w:numPr>
      <w:spacing w:before="240" w:after="0"/>
      <w:jc w:val="both"/>
      <w:outlineLvl w:val="2"/>
    </w:pPr>
    <w:rPr>
      <w:rFonts w:ascii="Verdana" w:hAnsi="Verdana" w:cs="Verdana"/>
      <w:b/>
      <w:sz w:val="20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240" w:after="0"/>
      <w:ind w:hanging="0" w:left="331" w:right="0"/>
      <w:jc w:val="both"/>
      <w:outlineLvl w:val="3"/>
    </w:pPr>
    <w:rPr>
      <w:rFonts w:ascii="Verdana" w:hAnsi="Verdana" w:cs="Verdana"/>
      <w:b/>
      <w:bCs/>
      <w:sz w:val="20"/>
      <w:szCs w:val="28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0"/>
      <w:ind w:hanging="0" w:left="691" w:right="0"/>
      <w:jc w:val="both"/>
      <w:outlineLvl w:val="4"/>
    </w:pPr>
    <w:rPr>
      <w:rFonts w:ascii="Verdana" w:hAnsi="Verdana" w:cs="Verdana"/>
      <w:b/>
      <w:bCs/>
      <w:iCs/>
      <w:sz w:val="20"/>
      <w:szCs w:val="26"/>
    </w:rPr>
  </w:style>
  <w:style w:type="character" w:styleId="WW8Num1z0">
    <w:name w:val="WW8Num1z0"/>
    <w:qFormat/>
    <w:rPr>
      <w:rFonts w:ascii="Verdana" w:hAnsi="Verdana" w:cs="Verdana"/>
      <w:b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0"/>
      <w:sz w:val="20"/>
      <w:vertAlign w:val="baseline"/>
    </w:rPr>
  </w:style>
  <w:style w:type="character" w:styleId="WW8Num3z0">
    <w:name w:val="WW8Num3z0"/>
    <w:qFormat/>
    <w:rPr>
      <w:rFonts w:ascii="Symbol" w:hAnsi="Symbol" w:cs="Symbol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4z0">
    <w:name w:val="WW8Num4z0"/>
    <w:qFormat/>
    <w:rPr>
      <w:rFonts w:ascii="Symbol" w:hAnsi="Symbol" w:cs="Symbol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PageNumber">
    <w:name w:val="page number"/>
    <w:rPr>
      <w:rFonts w:ascii="Verdana" w:hAnsi="Verdana" w:cs="Verdana"/>
      <w:b/>
      <w:strike w:val="false"/>
      <w:dstrike w:val="false"/>
      <w:position w:val="0"/>
      <w:sz w:val="20"/>
      <w:sz w:val="20"/>
      <w:vertAlign w:val="baselin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next w:val="Body"/>
    <w:pPr>
      <w:jc w:val="both"/>
    </w:pPr>
    <w:rPr>
      <w:rFonts w:ascii="Verdana" w:hAnsi="Verdana" w:cs="Verdana"/>
      <w:sz w:val="20"/>
    </w:rPr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Body">
    <w:name w:val="Body"/>
    <w:basedOn w:val="Normal"/>
    <w:qFormat/>
    <w:pPr>
      <w:spacing w:before="240" w:after="0"/>
      <w:jc w:val="both"/>
    </w:pPr>
    <w:rPr>
      <w:rFonts w:ascii="Verdana" w:hAnsi="Verdana" w:cs="Verdana"/>
      <w:sz w:val="20"/>
    </w:rPr>
  </w:style>
  <w:style w:type="paragraph" w:styleId="Command">
    <w:name w:val="Command"/>
    <w:basedOn w:val="Normal"/>
    <w:qFormat/>
    <w:pPr>
      <w:spacing w:before="240" w:after="0"/>
      <w:ind w:hanging="0" w:left="331" w:right="0"/>
      <w:jc w:val="both"/>
    </w:pPr>
    <w:rPr>
      <w:rFonts w:ascii="Verdana" w:hAnsi="Verdana" w:cs="Verdana"/>
      <w:b/>
      <w:sz w:val="20"/>
    </w:rPr>
  </w:style>
  <w:style w:type="paragraph" w:styleId="Continued">
    <w:name w:val="Continued"/>
    <w:basedOn w:val="Heading2"/>
    <w:qFormat/>
    <w:pPr>
      <w:numPr>
        <w:ilvl w:val="0"/>
        <w:numId w:val="0"/>
      </w:numPr>
      <w:spacing w:before="0" w:after="60"/>
      <w:jc w:val="both"/>
      <w:outlineLvl w:val="9"/>
    </w:pPr>
    <w:rPr>
      <w:rFonts w:ascii="Verdana" w:hAnsi="Verdana" w:cs="Times New Roman"/>
      <w:bCs/>
      <w:i/>
      <w:iCs/>
      <w:sz w:val="24"/>
      <w:szCs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  <w:jc w:val="both"/>
    </w:pPr>
    <w:rPr>
      <w:rFonts w:ascii="Verdana" w:hAnsi="Verdana" w:cs="Verdana"/>
      <w:sz w:val="20"/>
    </w:rPr>
  </w:style>
  <w:style w:type="paragraph" w:styleId="Footer1">
    <w:name w:val="Footer 1"/>
    <w:basedOn w:val="Footer"/>
    <w:qFormat/>
    <w:pPr>
      <w:tabs>
        <w:tab w:val="clear" w:pos="4320"/>
        <w:tab w:val="right" w:pos="8640" w:leader="none"/>
      </w:tabs>
    </w:pPr>
    <w:rPr>
      <w:i/>
      <w:sz w:val="16"/>
    </w:rPr>
  </w:style>
  <w:style w:type="paragraph" w:styleId="Header">
    <w:name w:val="header"/>
    <w:basedOn w:val="Normal"/>
    <w:pPr>
      <w:tabs>
        <w:tab w:val="clear" w:pos="720"/>
        <w:tab w:val="right" w:pos="8640" w:leader="none"/>
      </w:tabs>
      <w:jc w:val="both"/>
    </w:pPr>
    <w:rPr>
      <w:rFonts w:ascii="Verdana" w:hAnsi="Verdana" w:cs="Verdana"/>
      <w:b/>
      <w:i/>
      <w:sz w:val="20"/>
    </w:rPr>
  </w:style>
  <w:style w:type="paragraph" w:styleId="Indent">
    <w:name w:val="Indent"/>
    <w:basedOn w:val="Normal"/>
    <w:qFormat/>
    <w:pPr>
      <w:spacing w:before="240" w:after="0"/>
      <w:ind w:hanging="0" w:left="331" w:right="0"/>
      <w:jc w:val="both"/>
    </w:pPr>
    <w:rPr>
      <w:rFonts w:ascii="Verdana" w:hAnsi="Verdana" w:cs="Verdana"/>
      <w:sz w:val="20"/>
    </w:rPr>
  </w:style>
  <w:style w:type="paragraph" w:styleId="IndentText">
    <w:name w:val="Indent Text"/>
    <w:basedOn w:val="Indent"/>
    <w:qFormat/>
    <w:pPr>
      <w:spacing w:before="0" w:after="0"/>
    </w:pPr>
    <w:rPr/>
  </w:style>
  <w:style w:type="paragraph" w:styleId="Indent2">
    <w:name w:val="Indent2"/>
    <w:basedOn w:val="Indent"/>
    <w:qFormat/>
    <w:pPr>
      <w:ind w:hanging="0" w:left="696" w:right="0"/>
    </w:pPr>
    <w:rPr/>
  </w:style>
  <w:style w:type="paragraph" w:styleId="Indent2Text">
    <w:name w:val="Indent2 Text"/>
    <w:basedOn w:val="Indent2"/>
    <w:qFormat/>
    <w:pPr>
      <w:spacing w:before="0" w:after="0"/>
      <w:ind w:hanging="0" w:left="691" w:right="0"/>
    </w:pPr>
    <w:rPr/>
  </w:style>
  <w:style w:type="paragraph" w:styleId="Note">
    <w:name w:val="Note"/>
    <w:basedOn w:val="Normal"/>
    <w:next w:val="Body"/>
    <w:qFormat/>
    <w:pPr>
      <w:numPr>
        <w:ilvl w:val="0"/>
        <w:numId w:val="2"/>
      </w:numPr>
      <w:tabs>
        <w:tab w:val="clear" w:pos="720"/>
        <w:tab w:val="left" w:pos="888" w:leader="none"/>
      </w:tabs>
      <w:spacing w:before="240" w:after="0"/>
      <w:ind w:hanging="0" w:left="0" w:right="0"/>
    </w:pPr>
    <w:rPr/>
  </w:style>
  <w:style w:type="paragraph" w:styleId="Note2">
    <w:name w:val="Note2"/>
    <w:basedOn w:val="Note"/>
    <w:next w:val="Body"/>
    <w:qFormat/>
    <w:pPr>
      <w:numPr>
        <w:ilvl w:val="0"/>
        <w:numId w:val="0"/>
      </w:numPr>
      <w:tabs>
        <w:tab w:val="left" w:pos="888" w:leader="none"/>
        <w:tab w:val="left" w:pos="1248" w:leader="none"/>
      </w:tabs>
      <w:ind w:hanging="0" w:left="360" w:right="0"/>
    </w:pPr>
    <w:rPr/>
  </w:style>
  <w:style w:type="paragraph" w:styleId="Screen">
    <w:name w:val="Screen"/>
    <w:basedOn w:val="Normal"/>
    <w:qFormat/>
    <w:pPr>
      <w:jc w:val="left"/>
    </w:pPr>
    <w:rPr>
      <w:rFonts w:ascii="Courier New" w:hAnsi="Courier New" w:cs="Courier New"/>
      <w:b/>
      <w:sz w:val="18"/>
    </w:rPr>
  </w:style>
  <w:style w:type="paragraph" w:styleId="TOC1">
    <w:name w:val="toc 1"/>
    <w:basedOn w:val="Normal"/>
    <w:pPr>
      <w:tabs>
        <w:tab w:val="clear" w:pos="720"/>
        <w:tab w:val="right" w:pos="8640" w:leader="dot"/>
      </w:tabs>
      <w:spacing w:before="180" w:after="120"/>
    </w:pPr>
    <w:rPr>
      <w:b/>
    </w:rPr>
  </w:style>
  <w:style w:type="paragraph" w:styleId="TOC2">
    <w:name w:val="toc 2"/>
    <w:basedOn w:val="Normal"/>
    <w:pPr>
      <w:tabs>
        <w:tab w:val="clear" w:pos="720"/>
        <w:tab w:val="right" w:pos="8640" w:leader="dot"/>
      </w:tabs>
      <w:ind w:hanging="0" w:left="200" w:right="0"/>
    </w:pPr>
    <w:rPr/>
  </w:style>
  <w:style w:type="paragraph" w:styleId="TOCBase">
    <w:name w:val="TOC Base"/>
    <w:basedOn w:val="Heading2"/>
    <w:next w:val="TOC1"/>
    <w:qFormat/>
    <w:pPr>
      <w:numPr>
        <w:ilvl w:val="0"/>
        <w:numId w:val="0"/>
      </w:numPr>
      <w:tabs>
        <w:tab w:val="clear" w:pos="720"/>
        <w:tab w:val="right" w:pos="8640" w:leader="none"/>
      </w:tabs>
      <w:spacing w:before="0" w:after="0"/>
      <w:outlineLvl w:val="9"/>
    </w:pPr>
    <w:rPr>
      <w:sz w:val="24"/>
      <w:u w:val="single"/>
    </w:rPr>
  </w:style>
  <w:style w:type="paragraph" w:styleId="TOC3">
    <w:name w:val="TOC3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2015-10-16T21:09:00Z</dcterms:created>
  <dc:creator>sdavis</dc:creator>
  <dc:description/>
  <cp:keywords/>
  <dc:language>en-US</dc:language>
  <cp:lastModifiedBy>Shelby Lund</cp:lastModifiedBy>
  <cp:lastPrinted>2007-04-04T15:23:00Z</cp:lastPrinted>
  <dcterms:modified xsi:type="dcterms:W3CDTF">2015-10-16T21:23:00Z</dcterms:modified>
  <cp:revision>3</cp:revision>
  <dc:subject/>
  <dc:title>Wholegoods Source</dc:title>
</cp:coreProperties>
</file>