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keepNext w:val="false"/>
        <w:spacing w:before="120" w:after="0"/>
        <w:ind w:hanging="0" w:left="0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 xml:space="preserve">Accounts Payable Vendors: </w:t>
      </w:r>
      <w:r>
        <w:rPr>
          <w:rFonts w:cs="Calibri" w:ascii="Calibri" w:hAnsi="Calibri"/>
          <w:b w:val="false"/>
          <w:sz w:val="22"/>
          <w:szCs w:val="22"/>
        </w:rPr>
        <w:t>This file pulls information from the A/P Vendor file.</w:t>
      </w:r>
    </w:p>
    <w:p>
      <w:pPr>
        <w:pStyle w:val="BodyText"/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BodyText"/>
        <w:spacing w:before="120" w:after="0"/>
        <w:jc w:val="center"/>
        <w:rPr>
          <w:rFonts w:ascii="Calibri" w:hAnsi="Calibri" w:cs="Calibri"/>
          <w:sz w:val="22"/>
          <w:szCs w:val="22"/>
        </w:rPr>
      </w:pPr>
      <w:r>
        <w:rPr>
          <w:lang w:val="en-US" w:eastAsia="en-US"/>
        </w:rPr>
        <w:drawing>
          <wp:inline distT="0" distB="0" distL="0" distR="0">
            <wp:extent cx="4000500" cy="293370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93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120" w:after="0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Vendor #: </w:t>
      </w:r>
      <w:r>
        <w:rPr>
          <w:rFonts w:cs="Calibri" w:ascii="Calibri" w:hAnsi="Calibri"/>
          <w:b w:val="false"/>
          <w:sz w:val="22"/>
          <w:szCs w:val="22"/>
        </w:rPr>
        <w:t>The vendor number is a 5-character (numeric) field.</w:t>
      </w:r>
      <w:r>
        <w:rPr>
          <w:rFonts w:cs="Calibri" w:ascii="Calibri" w:hAnsi="Calibri"/>
          <w:sz w:val="22"/>
          <w:szCs w:val="22"/>
        </w:rPr>
        <w:t xml:space="preserve">  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Vendor Name: </w:t>
      </w:r>
      <w:r>
        <w:rPr>
          <w:rFonts w:cs="Calibri" w:ascii="Calibri" w:hAnsi="Calibri"/>
          <w:b w:val="false"/>
          <w:sz w:val="22"/>
          <w:szCs w:val="22"/>
        </w:rPr>
        <w:t xml:space="preserve">This field holds the vendor’s company name, or individual’s name if a contractor.  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Address: </w:t>
      </w:r>
      <w:r>
        <w:rPr>
          <w:rFonts w:cs="Calibri" w:ascii="Calibri" w:hAnsi="Calibri"/>
          <w:b w:val="false"/>
          <w:sz w:val="22"/>
          <w:szCs w:val="22"/>
        </w:rPr>
        <w:t>This field holds the vendor’s address.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City: </w:t>
      </w:r>
      <w:r>
        <w:rPr>
          <w:rFonts w:cs="Calibri" w:ascii="Calibri" w:hAnsi="Calibri"/>
          <w:b w:val="false"/>
          <w:sz w:val="22"/>
          <w:szCs w:val="22"/>
        </w:rPr>
        <w:t xml:space="preserve">This field holds the vendor’s city. 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State: </w:t>
      </w:r>
      <w:r>
        <w:rPr>
          <w:rFonts w:cs="Calibri" w:ascii="Calibri" w:hAnsi="Calibri"/>
          <w:b w:val="false"/>
          <w:sz w:val="22"/>
          <w:szCs w:val="22"/>
        </w:rPr>
        <w:t>This field holds the vendor’s state or province.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Zip Code: </w:t>
      </w:r>
      <w:r>
        <w:rPr>
          <w:rFonts w:cs="Calibri" w:ascii="Calibri" w:hAnsi="Calibri"/>
          <w:b w:val="false"/>
          <w:sz w:val="22"/>
          <w:szCs w:val="22"/>
        </w:rPr>
        <w:t xml:space="preserve">This field holds the vendor’s 5 or 9-digit zip code or Canadian postal code. 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Telephone: </w:t>
      </w:r>
      <w:r>
        <w:rPr>
          <w:rFonts w:cs="Calibri" w:ascii="Calibri" w:hAnsi="Calibri"/>
          <w:b w:val="false"/>
          <w:sz w:val="22"/>
          <w:szCs w:val="22"/>
        </w:rPr>
        <w:t xml:space="preserve">This field holds the vendor’s telephone number without the dashes. </w:t>
      </w:r>
    </w:p>
    <w:p>
      <w:pPr>
        <w:pStyle w:val="Heading2"/>
        <w:keepNext w:val="false"/>
        <w:numPr>
          <w:ilvl w:val="0"/>
          <w:numId w:val="4"/>
        </w:numPr>
        <w:spacing w:before="120" w:after="6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1099: </w:t>
      </w:r>
      <w:r>
        <w:rPr>
          <w:rFonts w:cs="Calibri" w:ascii="Calibri" w:hAnsi="Calibri"/>
          <w:b w:val="false"/>
          <w:sz w:val="22"/>
          <w:szCs w:val="22"/>
        </w:rPr>
        <w:t>This field holds one of the following:</w:t>
      </w:r>
    </w:p>
    <w:p>
      <w:pPr>
        <w:pStyle w:val="Heading2"/>
        <w:keepNext w:val="false"/>
        <w:numPr>
          <w:ilvl w:val="1"/>
          <w:numId w:val="4"/>
        </w:numPr>
        <w:spacing w:before="120" w:after="6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“</w:t>
      </w:r>
      <w:r>
        <w:rPr>
          <w:rFonts w:cs="Calibri" w:ascii="Calibri" w:hAnsi="Calibri"/>
          <w:b w:val="false"/>
          <w:sz w:val="22"/>
          <w:szCs w:val="22"/>
        </w:rPr>
        <w:t>Y” if the vendor should receive a 1099.</w:t>
      </w:r>
    </w:p>
    <w:p>
      <w:pPr>
        <w:pStyle w:val="Heading2"/>
        <w:keepNext w:val="false"/>
        <w:numPr>
          <w:ilvl w:val="1"/>
          <w:numId w:val="4"/>
        </w:numPr>
        <w:spacing w:before="120" w:after="6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“</w:t>
      </w:r>
      <w:r>
        <w:rPr>
          <w:rFonts w:cs="Calibri" w:ascii="Calibri" w:hAnsi="Calibri"/>
          <w:b w:val="false"/>
          <w:sz w:val="22"/>
          <w:szCs w:val="22"/>
        </w:rPr>
        <w:t>N” if the vendor does not receive a 1099.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Tax ID: </w:t>
      </w:r>
      <w:r>
        <w:rPr>
          <w:rFonts w:cs="Calibri" w:ascii="Calibri" w:hAnsi="Calibri"/>
          <w:b w:val="false"/>
          <w:sz w:val="22"/>
          <w:szCs w:val="22"/>
        </w:rPr>
        <w:t xml:space="preserve">This field holds the vendor’s federal identification type, which can be: </w:t>
      </w:r>
    </w:p>
    <w:p>
      <w:pPr>
        <w:pStyle w:val="Heading3"/>
        <w:keepNext w:val="false"/>
        <w:numPr>
          <w:ilvl w:val="1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bCs/>
          <w:sz w:val="22"/>
          <w:szCs w:val="22"/>
          <w:u w:val="single"/>
        </w:rPr>
        <w:t>E</w:t>
      </w:r>
      <w:r>
        <w:rPr>
          <w:rFonts w:cs="Calibri" w:ascii="Calibri" w:hAnsi="Calibri"/>
          <w:b w:val="false"/>
          <w:bCs/>
          <w:sz w:val="22"/>
          <w:szCs w:val="22"/>
        </w:rPr>
        <w:t>IN</w:t>
      </w:r>
      <w:r>
        <w:rPr>
          <w:rFonts w:cs="Calibri" w:ascii="Calibri" w:hAnsi="Calibri"/>
          <w:b w:val="false"/>
          <w:sz w:val="22"/>
          <w:szCs w:val="22"/>
        </w:rPr>
        <w:t xml:space="preserve"> (Employer Identification Number)</w:t>
      </w:r>
    </w:p>
    <w:p>
      <w:pPr>
        <w:pStyle w:val="Heading3"/>
        <w:keepNext w:val="false"/>
        <w:numPr>
          <w:ilvl w:val="1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bCs/>
          <w:sz w:val="22"/>
          <w:szCs w:val="22"/>
          <w:u w:val="single"/>
        </w:rPr>
        <w:t>S</w:t>
      </w:r>
      <w:r>
        <w:rPr>
          <w:rFonts w:cs="Calibri" w:ascii="Calibri" w:hAnsi="Calibri"/>
          <w:b w:val="false"/>
          <w:bCs/>
          <w:sz w:val="22"/>
          <w:szCs w:val="22"/>
        </w:rPr>
        <w:t>SN</w:t>
      </w:r>
      <w:r>
        <w:rPr>
          <w:rFonts w:cs="Calibri" w:ascii="Calibri" w:hAnsi="Calibri"/>
          <w:b w:val="false"/>
          <w:sz w:val="22"/>
          <w:szCs w:val="22"/>
        </w:rPr>
        <w:t xml:space="preserve"> (Social Security Account Number).   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EIN/SSN: </w:t>
      </w:r>
      <w:r>
        <w:rPr>
          <w:rFonts w:cs="Calibri" w:ascii="Calibri" w:hAnsi="Calibri"/>
          <w:b w:val="false"/>
          <w:sz w:val="22"/>
          <w:szCs w:val="22"/>
        </w:rPr>
        <w:t xml:space="preserve">This field holds the 1099 ID (E or S). 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YTD Paid: </w:t>
      </w:r>
      <w:r>
        <w:rPr>
          <w:rFonts w:cs="Calibri" w:ascii="Calibri" w:hAnsi="Calibri"/>
          <w:b w:val="false"/>
          <w:sz w:val="22"/>
          <w:szCs w:val="22"/>
        </w:rPr>
        <w:t xml:space="preserve">This field shows the YTD paid to the vendor for this calendar year. 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Cust Acct#: </w:t>
      </w:r>
      <w:r>
        <w:rPr>
          <w:rFonts w:cs="Calibri" w:ascii="Calibri" w:hAnsi="Calibri"/>
          <w:b w:val="false"/>
          <w:sz w:val="22"/>
          <w:szCs w:val="22"/>
        </w:rPr>
        <w:t xml:space="preserve">This field holds the dealership’s customer account number with this vendor. 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Print Stub?: </w:t>
      </w:r>
      <w:r>
        <w:rPr>
          <w:rFonts w:cs="Calibri" w:ascii="Calibri" w:hAnsi="Calibri"/>
          <w:b w:val="false"/>
          <w:sz w:val="22"/>
          <w:szCs w:val="22"/>
        </w:rPr>
        <w:t>This field shows the preference for printing the check stubs for this vendor.</w:t>
      </w:r>
    </w:p>
    <w:p>
      <w:pPr>
        <w:pStyle w:val="Heading3"/>
        <w:keepNext w:val="false"/>
        <w:numPr>
          <w:ilvl w:val="1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“</w:t>
      </w:r>
      <w:r>
        <w:rPr>
          <w:rFonts w:cs="Calibri" w:ascii="Calibri" w:hAnsi="Calibri"/>
          <w:b w:val="false"/>
          <w:sz w:val="22"/>
          <w:szCs w:val="22"/>
        </w:rPr>
        <w:t>Y” to print stubs</w:t>
      </w:r>
    </w:p>
    <w:p>
      <w:pPr>
        <w:pStyle w:val="Heading3"/>
        <w:keepNext w:val="false"/>
        <w:numPr>
          <w:ilvl w:val="1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“</w:t>
      </w:r>
      <w:r>
        <w:rPr>
          <w:rFonts w:cs="Calibri" w:ascii="Calibri" w:hAnsi="Calibri"/>
          <w:b w:val="false"/>
          <w:sz w:val="22"/>
          <w:szCs w:val="22"/>
        </w:rPr>
        <w:t>N” to skip them.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2</w:t>
      </w:r>
      <w:r>
        <w:rPr>
          <w:rFonts w:cs="Calibri" w:ascii="Calibri" w:hAnsi="Calibri"/>
          <w:sz w:val="22"/>
          <w:szCs w:val="22"/>
          <w:vertAlign w:val="superscript"/>
        </w:rPr>
        <w:t>nd</w:t>
      </w:r>
      <w:r>
        <w:rPr>
          <w:rFonts w:cs="Calibri" w:ascii="Calibri" w:hAnsi="Calibri"/>
          <w:sz w:val="22"/>
          <w:szCs w:val="22"/>
        </w:rPr>
        <w:t xml:space="preserve"> Address: </w:t>
      </w:r>
      <w:r>
        <w:rPr>
          <w:rFonts w:cs="Calibri" w:ascii="Calibri" w:hAnsi="Calibri"/>
          <w:b w:val="false"/>
          <w:sz w:val="22"/>
          <w:szCs w:val="22"/>
        </w:rPr>
        <w:t>This field provides a second line for the address, should it require one.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Time Stamp: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Ledger Acct#: </w:t>
      </w:r>
      <w:r>
        <w:rPr>
          <w:rFonts w:cs="Calibri" w:ascii="Calibri" w:hAnsi="Calibri"/>
          <w:b w:val="false"/>
          <w:sz w:val="22"/>
          <w:szCs w:val="22"/>
        </w:rPr>
        <w:t xml:space="preserve">This field holds the default general ledger account for purchases from this vendor. 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Due Flag D/M: </w:t>
      </w:r>
      <w:r>
        <w:rPr>
          <w:rFonts w:cs="Calibri" w:ascii="Calibri" w:hAnsi="Calibri"/>
          <w:b w:val="false"/>
          <w:sz w:val="22"/>
          <w:szCs w:val="22"/>
        </w:rPr>
        <w:t xml:space="preserve">This field shows how to handle the due date for this vendor.  </w:t>
      </w:r>
    </w:p>
    <w:p>
      <w:pPr>
        <w:pStyle w:val="Heading3"/>
        <w:keepNext w:val="false"/>
        <w:numPr>
          <w:ilvl w:val="1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“</w:t>
      </w:r>
      <w:r>
        <w:rPr>
          <w:rFonts w:cs="Calibri" w:ascii="Calibri" w:hAnsi="Calibri"/>
          <w:b w:val="false"/>
          <w:sz w:val="22"/>
          <w:szCs w:val="22"/>
        </w:rPr>
        <w:t xml:space="preserve">D” means the due date is a number of days from the invoice date.  </w:t>
      </w:r>
    </w:p>
    <w:p>
      <w:pPr>
        <w:pStyle w:val="Heading3"/>
        <w:keepNext w:val="false"/>
        <w:numPr>
          <w:ilvl w:val="1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“</w:t>
      </w:r>
      <w:r>
        <w:rPr>
          <w:rFonts w:cs="Calibri" w:ascii="Calibri" w:hAnsi="Calibri"/>
          <w:b w:val="false"/>
          <w:sz w:val="22"/>
          <w:szCs w:val="22"/>
        </w:rPr>
        <w:t>M” means that the due date is a certain day of the month.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Due Date:</w:t>
      </w:r>
    </w:p>
    <w:p>
      <w:pPr>
        <w:pStyle w:val="BodyText"/>
        <w:numPr>
          <w:ilvl w:val="1"/>
          <w:numId w:val="4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If the Due Flag is “M,” a day of the month will be in this field.  </w:t>
      </w:r>
    </w:p>
    <w:p>
      <w:pPr>
        <w:pStyle w:val="BodyText"/>
        <w:numPr>
          <w:ilvl w:val="1"/>
          <w:numId w:val="4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If the Due Flag is “D,” a number of days will be in this field.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Discount A or P: </w:t>
      </w:r>
      <w:r>
        <w:rPr>
          <w:rFonts w:cs="Calibri" w:ascii="Calibri" w:hAnsi="Calibri"/>
          <w:b w:val="false"/>
          <w:sz w:val="22"/>
          <w:szCs w:val="22"/>
        </w:rPr>
        <w:t xml:space="preserve">If the vendor typically provides a discount, this field may show one of the following: </w:t>
      </w:r>
    </w:p>
    <w:p>
      <w:pPr>
        <w:pStyle w:val="Heading3"/>
        <w:keepNext w:val="false"/>
        <w:numPr>
          <w:ilvl w:val="1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“</w:t>
      </w:r>
      <w:r>
        <w:rPr>
          <w:rFonts w:cs="Calibri" w:ascii="Calibri" w:hAnsi="Calibri"/>
          <w:b w:val="false"/>
          <w:sz w:val="22"/>
          <w:szCs w:val="22"/>
        </w:rPr>
        <w:t xml:space="preserve">A” if it is an amount </w:t>
      </w:r>
    </w:p>
    <w:p>
      <w:pPr>
        <w:pStyle w:val="Heading3"/>
        <w:keepNext w:val="false"/>
        <w:numPr>
          <w:ilvl w:val="1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“</w:t>
      </w:r>
      <w:r>
        <w:rPr>
          <w:rFonts w:cs="Calibri" w:ascii="Calibri" w:hAnsi="Calibri"/>
          <w:b w:val="false"/>
          <w:sz w:val="22"/>
          <w:szCs w:val="22"/>
        </w:rPr>
        <w:t xml:space="preserve">P” if it is a percentage. 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Discount Amt: </w:t>
      </w:r>
      <w:r>
        <w:rPr>
          <w:rFonts w:cs="Calibri" w:ascii="Calibri" w:hAnsi="Calibri"/>
          <w:b w:val="false"/>
          <w:sz w:val="22"/>
          <w:szCs w:val="22"/>
        </w:rPr>
        <w:t>This field may display Discount Amount or Discount Percent if the vendor typically provides a discount.</w:t>
      </w:r>
    </w:p>
    <w:p>
      <w:pPr>
        <w:pStyle w:val="Normal"/>
        <w:numPr>
          <w:ilvl w:val="0"/>
          <w:numId w:val="4"/>
        </w:numPr>
        <w:spacing w:before="120" w:after="0"/>
        <w:rPr>
          <w:rFonts w:ascii="Calibri" w:hAnsi="Calibri" w:cs="Calibri"/>
          <w:b/>
          <w:sz w:val="22"/>
        </w:rPr>
      </w:pPr>
      <w:r>
        <w:rPr>
          <w:rFonts w:cs="Calibri" w:ascii="Calibri" w:hAnsi="Calibri"/>
          <w:b/>
          <w:sz w:val="22"/>
        </w:rPr>
        <w:t xml:space="preserve">Email: </w:t>
      </w:r>
      <w:r>
        <w:rPr>
          <w:rFonts w:cs="Calibri" w:ascii="Calibri" w:hAnsi="Calibri"/>
          <w:sz w:val="22"/>
        </w:rPr>
        <w:t>This field shows the vendor’s email address.</w:t>
      </w:r>
    </w:p>
    <w:p>
      <w:pPr>
        <w:pStyle w:val="Normal"/>
        <w:numPr>
          <w:ilvl w:val="0"/>
          <w:numId w:val="4"/>
        </w:numPr>
        <w:spacing w:before="120" w:after="0"/>
        <w:rPr>
          <w:rFonts w:ascii="Calibri" w:hAnsi="Calibri" w:cs="Calibri"/>
          <w:b/>
          <w:sz w:val="22"/>
        </w:rPr>
      </w:pPr>
      <w:r>
        <w:rPr>
          <w:rFonts w:cs="Calibri" w:ascii="Calibri" w:hAnsi="Calibri"/>
          <w:b/>
          <w:sz w:val="22"/>
        </w:rPr>
        <w:t xml:space="preserve">Fax Number: </w:t>
      </w:r>
      <w:r>
        <w:rPr>
          <w:rFonts w:cs="Calibri" w:ascii="Calibri" w:hAnsi="Calibri"/>
          <w:sz w:val="22"/>
        </w:rPr>
        <w:t>This field shows the vendor’s fax number.</w:t>
      </w:r>
    </w:p>
    <w:p>
      <w:pPr>
        <w:pStyle w:val="Normal"/>
        <w:numPr>
          <w:ilvl w:val="0"/>
          <w:numId w:val="4"/>
        </w:numPr>
        <w:spacing w:before="120" w:after="0"/>
        <w:rPr>
          <w:rFonts w:ascii="Calibri" w:hAnsi="Calibri" w:cs="Calibri"/>
          <w:b/>
          <w:sz w:val="22"/>
        </w:rPr>
      </w:pPr>
      <w:r>
        <w:rPr>
          <w:rFonts w:cs="Calibri" w:ascii="Calibri" w:hAnsi="Calibri"/>
          <w:b/>
          <w:sz w:val="22"/>
        </w:rPr>
        <w:t xml:space="preserve">Print Full Stub: </w:t>
      </w:r>
      <w:r>
        <w:rPr>
          <w:rFonts w:cs="Calibri" w:ascii="Calibri" w:hAnsi="Calibri"/>
          <w:sz w:val="22"/>
        </w:rPr>
        <w:t>This field indicates whether or not this vendor will receive a full stub report with their checks.</w:t>
      </w:r>
    </w:p>
    <w:p>
      <w:pPr>
        <w:pStyle w:val="Normal"/>
        <w:numPr>
          <w:ilvl w:val="0"/>
          <w:numId w:val="4"/>
        </w:numPr>
        <w:spacing w:before="120" w:after="0"/>
        <w:rPr>
          <w:rFonts w:ascii="Calibri" w:hAnsi="Calibri" w:cs="Calibri"/>
          <w:b/>
          <w:sz w:val="22"/>
        </w:rPr>
      </w:pPr>
      <w:r>
        <w:rPr>
          <w:rFonts w:cs="Calibri" w:ascii="Calibri" w:hAnsi="Calibri"/>
          <w:b/>
          <w:sz w:val="22"/>
        </w:rPr>
        <w:t xml:space="preserve">Address Type: </w:t>
      </w:r>
      <w:r>
        <w:rPr>
          <w:rFonts w:cs="Calibri" w:ascii="Calibri" w:hAnsi="Calibri"/>
          <w:sz w:val="22"/>
        </w:rPr>
        <w:t>This field is reserved for future use.</w:t>
      </w:r>
    </w:p>
    <w:p>
      <w:pPr>
        <w:pStyle w:val="Normal"/>
        <w:numPr>
          <w:ilvl w:val="0"/>
          <w:numId w:val="4"/>
        </w:numPr>
        <w:spacing w:before="120" w:after="0"/>
        <w:rPr>
          <w:rFonts w:ascii="Calibri" w:hAnsi="Calibri" w:cs="Calibri"/>
          <w:b/>
          <w:sz w:val="22"/>
        </w:rPr>
      </w:pPr>
      <w:r>
        <w:rPr>
          <w:rFonts w:cs="Calibri" w:ascii="Calibri" w:hAnsi="Calibri"/>
          <w:b/>
          <w:sz w:val="22"/>
        </w:rPr>
        <w:t xml:space="preserve">Phone Type: </w:t>
      </w:r>
      <w:r>
        <w:rPr>
          <w:rFonts w:cs="Calibri" w:ascii="Calibri" w:hAnsi="Calibri"/>
          <w:sz w:val="22"/>
        </w:rPr>
        <w:t xml:space="preserve">This field shows what the phone number’s type is: </w:t>
      </w:r>
    </w:p>
    <w:p>
      <w:pPr>
        <w:pStyle w:val="Normal"/>
        <w:numPr>
          <w:ilvl w:val="1"/>
          <w:numId w:val="4"/>
        </w:numPr>
        <w:spacing w:before="120" w:after="0"/>
        <w:rPr>
          <w:rFonts w:ascii="Calibri" w:hAnsi="Calibri" w:cs="Calibri"/>
          <w:b/>
          <w:sz w:val="22"/>
        </w:rPr>
      </w:pPr>
      <w:r>
        <w:rPr>
          <w:rFonts w:cs="Calibri" w:ascii="Calibri" w:hAnsi="Calibri"/>
          <w:sz w:val="22"/>
        </w:rPr>
        <w:t>Cell</w:t>
      </w:r>
    </w:p>
    <w:p>
      <w:pPr>
        <w:pStyle w:val="Normal"/>
        <w:numPr>
          <w:ilvl w:val="1"/>
          <w:numId w:val="4"/>
        </w:numPr>
        <w:spacing w:before="120" w:after="0"/>
        <w:rPr>
          <w:rFonts w:ascii="Calibri" w:hAnsi="Calibri" w:cs="Calibri"/>
          <w:b/>
          <w:sz w:val="22"/>
        </w:rPr>
      </w:pPr>
      <w:r>
        <w:rPr>
          <w:rFonts w:cs="Calibri" w:ascii="Calibri" w:hAnsi="Calibri"/>
          <w:sz w:val="22"/>
        </w:rPr>
        <w:t>Home</w:t>
      </w:r>
    </w:p>
    <w:p>
      <w:pPr>
        <w:pStyle w:val="Normal"/>
        <w:numPr>
          <w:ilvl w:val="1"/>
          <w:numId w:val="4"/>
        </w:numPr>
        <w:spacing w:before="120" w:after="0"/>
        <w:rPr>
          <w:rFonts w:ascii="Calibri" w:hAnsi="Calibri" w:cs="Calibri"/>
          <w:b/>
          <w:sz w:val="22"/>
        </w:rPr>
      </w:pPr>
      <w:r>
        <w:rPr>
          <w:rFonts w:cs="Calibri" w:ascii="Calibri" w:hAnsi="Calibri"/>
          <w:sz w:val="22"/>
        </w:rPr>
        <w:t>Work</w:t>
      </w:r>
    </w:p>
    <w:p>
      <w:pPr>
        <w:pStyle w:val="Normal"/>
        <w:numPr>
          <w:ilvl w:val="0"/>
          <w:numId w:val="4"/>
        </w:numPr>
        <w:spacing w:before="120" w:after="0"/>
        <w:rPr>
          <w:rFonts w:ascii="Calibri" w:hAnsi="Calibri" w:cs="Calibri"/>
          <w:b/>
          <w:sz w:val="22"/>
        </w:rPr>
      </w:pPr>
      <w:r>
        <w:rPr>
          <w:rFonts w:cs="Calibri" w:ascii="Calibri" w:hAnsi="Calibri"/>
          <w:b/>
          <w:sz w:val="22"/>
        </w:rPr>
        <w:t xml:space="preserve">Phone 2: </w:t>
      </w:r>
      <w:r>
        <w:rPr>
          <w:rFonts w:cs="Calibri" w:ascii="Calibri" w:hAnsi="Calibri"/>
          <w:sz w:val="22"/>
        </w:rPr>
        <w:t>This field shows a second phone number for the vendor, if one exists.</w:t>
      </w:r>
    </w:p>
    <w:p>
      <w:pPr>
        <w:pStyle w:val="Normal"/>
        <w:spacing w:before="120" w:after="0"/>
        <w:jc w:val="center"/>
        <w:rPr>
          <w:rFonts w:ascii="Calibri" w:hAnsi="Calibri" w:cs="Calibri"/>
          <w:b/>
          <w:sz w:val="22"/>
        </w:rPr>
      </w:pPr>
      <w:r>
        <w:rPr>
          <w:lang w:val="en-US" w:eastAsia="en-US"/>
        </w:rPr>
        <w:drawing>
          <wp:inline distT="0" distB="0" distL="0" distR="0">
            <wp:extent cx="4019550" cy="2943225"/>
            <wp:effectExtent l="0" t="0" r="0" b="0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2943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Calibri" w:hAnsi="Calibri" w:cs="Calibri"/>
          <w:b/>
          <w:sz w:val="22"/>
        </w:rPr>
      </w:pPr>
      <w:r>
        <w:rPr>
          <w:rFonts w:cs="Calibri" w:ascii="Calibri" w:hAnsi="Calibri"/>
          <w:b/>
          <w:sz w:val="22"/>
        </w:rPr>
      </w:r>
    </w:p>
    <w:p>
      <w:pPr>
        <w:pStyle w:val="Normal"/>
        <w:numPr>
          <w:ilvl w:val="0"/>
          <w:numId w:val="3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 xml:space="preserve">Phone Type 2: </w:t>
      </w:r>
      <w:r>
        <w:rPr>
          <w:rFonts w:cs="Calibri" w:ascii="Calibri" w:hAnsi="Calibri"/>
          <w:sz w:val="22"/>
          <w:szCs w:val="22"/>
        </w:rPr>
        <w:t xml:space="preserve">This field shows what the second phone number’s type is: </w:t>
      </w:r>
    </w:p>
    <w:p>
      <w:pPr>
        <w:pStyle w:val="Normal"/>
        <w:numPr>
          <w:ilvl w:val="1"/>
          <w:numId w:val="3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Cell</w:t>
      </w:r>
    </w:p>
    <w:p>
      <w:pPr>
        <w:pStyle w:val="Normal"/>
        <w:numPr>
          <w:ilvl w:val="1"/>
          <w:numId w:val="3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Home</w:t>
      </w:r>
    </w:p>
    <w:p>
      <w:pPr>
        <w:pStyle w:val="Normal"/>
        <w:numPr>
          <w:ilvl w:val="1"/>
          <w:numId w:val="3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Work</w:t>
      </w:r>
    </w:p>
    <w:p>
      <w:pPr>
        <w:pStyle w:val="Normal"/>
        <w:numPr>
          <w:ilvl w:val="0"/>
          <w:numId w:val="3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 xml:space="preserve">Fax Type: </w:t>
      </w:r>
      <w:r>
        <w:rPr>
          <w:rFonts w:cs="Calibri" w:ascii="Calibri" w:hAnsi="Calibri"/>
          <w:sz w:val="22"/>
          <w:szCs w:val="22"/>
        </w:rPr>
        <w:t xml:space="preserve">This field shows what the fax number’s type is: </w:t>
      </w:r>
    </w:p>
    <w:p>
      <w:pPr>
        <w:pStyle w:val="Normal"/>
        <w:numPr>
          <w:ilvl w:val="1"/>
          <w:numId w:val="3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Home</w:t>
      </w:r>
    </w:p>
    <w:p>
      <w:pPr>
        <w:pStyle w:val="Normal"/>
        <w:numPr>
          <w:ilvl w:val="1"/>
          <w:numId w:val="3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Work</w:t>
      </w:r>
    </w:p>
    <w:p>
      <w:pPr>
        <w:pStyle w:val="Normal"/>
        <w:numPr>
          <w:ilvl w:val="1"/>
          <w:numId w:val="3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Other</w:t>
      </w:r>
    </w:p>
    <w:p>
      <w:pPr>
        <w:pStyle w:val="Normal"/>
        <w:numPr>
          <w:ilvl w:val="0"/>
          <w:numId w:val="3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 xml:space="preserve">Fax 2: </w:t>
      </w:r>
      <w:r>
        <w:rPr>
          <w:rFonts w:cs="Calibri" w:ascii="Calibri" w:hAnsi="Calibri"/>
          <w:sz w:val="22"/>
          <w:szCs w:val="22"/>
        </w:rPr>
        <w:t>This field provides a second fax number for the vendor, if available.</w:t>
      </w:r>
    </w:p>
    <w:p>
      <w:pPr>
        <w:pStyle w:val="Normal"/>
        <w:numPr>
          <w:ilvl w:val="0"/>
          <w:numId w:val="3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 xml:space="preserve">Fax 2 Type: </w:t>
      </w:r>
      <w:r>
        <w:rPr>
          <w:rFonts w:cs="Calibri" w:ascii="Calibri" w:hAnsi="Calibri"/>
          <w:sz w:val="22"/>
          <w:szCs w:val="22"/>
        </w:rPr>
        <w:t xml:space="preserve">This field shows what the second fax number’s type is: </w:t>
      </w:r>
    </w:p>
    <w:p>
      <w:pPr>
        <w:pStyle w:val="Normal"/>
        <w:numPr>
          <w:ilvl w:val="1"/>
          <w:numId w:val="3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Home</w:t>
      </w:r>
    </w:p>
    <w:p>
      <w:pPr>
        <w:pStyle w:val="Normal"/>
        <w:numPr>
          <w:ilvl w:val="1"/>
          <w:numId w:val="3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Work</w:t>
      </w:r>
    </w:p>
    <w:p>
      <w:pPr>
        <w:pStyle w:val="Normal"/>
        <w:numPr>
          <w:ilvl w:val="1"/>
          <w:numId w:val="3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Other</w:t>
      </w:r>
    </w:p>
    <w:p>
      <w:pPr>
        <w:pStyle w:val="Normal"/>
        <w:numPr>
          <w:ilvl w:val="0"/>
          <w:numId w:val="3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 xml:space="preserve">Email Type: </w:t>
      </w:r>
      <w:r>
        <w:rPr>
          <w:rFonts w:cs="Calibri" w:ascii="Calibri" w:hAnsi="Calibri"/>
          <w:sz w:val="22"/>
          <w:szCs w:val="22"/>
        </w:rPr>
        <w:t xml:space="preserve">This field shows the email address’s type: </w:t>
      </w:r>
    </w:p>
    <w:p>
      <w:pPr>
        <w:pStyle w:val="Normal"/>
        <w:numPr>
          <w:ilvl w:val="1"/>
          <w:numId w:val="3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Personal</w:t>
      </w:r>
    </w:p>
    <w:p>
      <w:pPr>
        <w:pStyle w:val="Normal"/>
        <w:numPr>
          <w:ilvl w:val="1"/>
          <w:numId w:val="3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Business</w:t>
      </w:r>
    </w:p>
    <w:p>
      <w:pPr>
        <w:pStyle w:val="Normal"/>
        <w:numPr>
          <w:ilvl w:val="0"/>
          <w:numId w:val="3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 xml:space="preserve">Email 2: </w:t>
      </w:r>
      <w:r>
        <w:rPr>
          <w:rFonts w:cs="Calibri" w:ascii="Calibri" w:hAnsi="Calibri"/>
          <w:sz w:val="22"/>
          <w:szCs w:val="22"/>
        </w:rPr>
        <w:t>This field shows a second email address for the vendor, if available.</w:t>
      </w:r>
    </w:p>
    <w:p>
      <w:pPr>
        <w:pStyle w:val="Normal"/>
        <w:numPr>
          <w:ilvl w:val="0"/>
          <w:numId w:val="3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 xml:space="preserve">Email 2 Type: </w:t>
      </w:r>
      <w:r>
        <w:rPr>
          <w:rFonts w:cs="Calibri" w:ascii="Calibri" w:hAnsi="Calibri"/>
          <w:sz w:val="22"/>
          <w:szCs w:val="22"/>
        </w:rPr>
        <w:t xml:space="preserve">This field shows the second email address’s type: </w:t>
      </w:r>
    </w:p>
    <w:p>
      <w:pPr>
        <w:pStyle w:val="Normal"/>
        <w:numPr>
          <w:ilvl w:val="1"/>
          <w:numId w:val="3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Personal</w:t>
      </w:r>
    </w:p>
    <w:p>
      <w:pPr>
        <w:pStyle w:val="Normal"/>
        <w:numPr>
          <w:ilvl w:val="1"/>
          <w:numId w:val="3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Business</w:t>
      </w:r>
    </w:p>
    <w:p>
      <w:pPr>
        <w:pStyle w:val="Normal"/>
        <w:numPr>
          <w:ilvl w:val="0"/>
          <w:numId w:val="3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 xml:space="preserve">Website: </w:t>
      </w:r>
      <w:r>
        <w:rPr>
          <w:rFonts w:cs="Calibri" w:ascii="Calibri" w:hAnsi="Calibri"/>
          <w:sz w:val="22"/>
          <w:szCs w:val="22"/>
        </w:rPr>
        <w:t>This field shows the vendor’s website address, if available.</w:t>
      </w:r>
    </w:p>
    <w:p>
      <w:pPr>
        <w:pStyle w:val="Normal"/>
        <w:numPr>
          <w:ilvl w:val="0"/>
          <w:numId w:val="3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 xml:space="preserve">Print Remittance: </w:t>
      </w:r>
      <w:r>
        <w:rPr>
          <w:rFonts w:cs="Calibri" w:ascii="Calibri" w:hAnsi="Calibri"/>
          <w:sz w:val="22"/>
          <w:szCs w:val="22"/>
        </w:rPr>
        <w:t>This field indicates whether or not the vendor will receive a remittance report with their checks.</w:t>
      </w:r>
    </w:p>
    <w:p>
      <w:pPr>
        <w:pStyle w:val="Normal"/>
        <w:numPr>
          <w:ilvl w:val="0"/>
          <w:numId w:val="3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 xml:space="preserve">Active: </w:t>
      </w:r>
      <w:r>
        <w:rPr>
          <w:rFonts w:cs="Calibri" w:ascii="Calibri" w:hAnsi="Calibri"/>
          <w:sz w:val="22"/>
          <w:szCs w:val="22"/>
        </w:rPr>
        <w:t>This field indicates if the vendor is currently marked active or inactive in the system.</w:t>
      </w:r>
    </w:p>
    <w:p>
      <w:pPr>
        <w:pStyle w:val="Normal"/>
        <w:numPr>
          <w:ilvl w:val="0"/>
          <w:numId w:val="3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 xml:space="preserve">Physical Address: </w:t>
      </w:r>
      <w:r>
        <w:rPr>
          <w:rFonts w:cs="Calibri" w:ascii="Calibri" w:hAnsi="Calibri"/>
          <w:sz w:val="22"/>
          <w:szCs w:val="22"/>
        </w:rPr>
        <w:t>This field is reserved for future use.</w:t>
      </w:r>
    </w:p>
    <w:p>
      <w:pPr>
        <w:pStyle w:val="Normal"/>
        <w:numPr>
          <w:ilvl w:val="0"/>
          <w:numId w:val="3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 xml:space="preserve">Physical Address 2: </w:t>
      </w:r>
      <w:r>
        <w:rPr>
          <w:rFonts w:cs="Calibri" w:ascii="Calibri" w:hAnsi="Calibri"/>
          <w:sz w:val="22"/>
          <w:szCs w:val="22"/>
        </w:rPr>
        <w:t>This field is reserved for future use.</w:t>
      </w:r>
    </w:p>
    <w:p>
      <w:pPr>
        <w:pStyle w:val="Normal"/>
        <w:numPr>
          <w:ilvl w:val="0"/>
          <w:numId w:val="3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 xml:space="preserve">Physical City: </w:t>
      </w:r>
      <w:r>
        <w:rPr>
          <w:rFonts w:cs="Calibri" w:ascii="Calibri" w:hAnsi="Calibri"/>
          <w:sz w:val="22"/>
          <w:szCs w:val="22"/>
        </w:rPr>
        <w:t>This field is reserved for future use.</w:t>
      </w:r>
    </w:p>
    <w:p>
      <w:pPr>
        <w:pStyle w:val="Normal"/>
        <w:numPr>
          <w:ilvl w:val="0"/>
          <w:numId w:val="3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 xml:space="preserve">Physical State: </w:t>
      </w:r>
      <w:r>
        <w:rPr>
          <w:rFonts w:cs="Calibri" w:ascii="Calibri" w:hAnsi="Calibri"/>
          <w:sz w:val="22"/>
          <w:szCs w:val="22"/>
        </w:rPr>
        <w:t>This field is reserved for future use.</w:t>
      </w:r>
    </w:p>
    <w:p>
      <w:pPr>
        <w:pStyle w:val="Normal"/>
        <w:numPr>
          <w:ilvl w:val="0"/>
          <w:numId w:val="3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 xml:space="preserve">Physical Zipcode: </w:t>
      </w:r>
      <w:r>
        <w:rPr>
          <w:rFonts w:cs="Calibri" w:ascii="Calibri" w:hAnsi="Calibri"/>
          <w:sz w:val="22"/>
          <w:szCs w:val="22"/>
        </w:rPr>
        <w:t>This field is reserved for future use.</w:t>
      </w:r>
    </w:p>
    <w:p>
      <w:pPr>
        <w:pStyle w:val="Normal"/>
        <w:numPr>
          <w:ilvl w:val="0"/>
          <w:numId w:val="3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 xml:space="preserve">Tax Code: </w:t>
      </w:r>
      <w:r>
        <w:rPr>
          <w:rFonts w:cs="Calibri" w:ascii="Calibri" w:hAnsi="Calibri"/>
          <w:sz w:val="22"/>
          <w:szCs w:val="22"/>
        </w:rPr>
        <w:t xml:space="preserve">If the vendor is </w:t>
      </w:r>
      <w:r>
        <w:rPr>
          <w:rFonts w:cs="Calibri" w:ascii="Calibri" w:hAnsi="Calibri"/>
          <w:b/>
          <w:sz w:val="22"/>
          <w:szCs w:val="22"/>
        </w:rPr>
        <w:t>Canadian</w:t>
      </w:r>
      <w:r>
        <w:rPr>
          <w:rFonts w:cs="Calibri" w:ascii="Calibri" w:hAnsi="Calibri"/>
          <w:sz w:val="22"/>
          <w:szCs w:val="22"/>
        </w:rPr>
        <w:t>, this field will hold the vendor’s default tax code.</w:t>
      </w:r>
    </w:p>
    <w:p>
      <w:pPr>
        <w:pStyle w:val="Normal"/>
        <w:numPr>
          <w:ilvl w:val="0"/>
          <w:numId w:val="3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 xml:space="preserve">1099 Box Location: </w:t>
      </w:r>
      <w:r>
        <w:rPr>
          <w:rFonts w:cs="Calibri" w:ascii="Calibri" w:hAnsi="Calibri"/>
          <w:sz w:val="22"/>
          <w:szCs w:val="22"/>
        </w:rPr>
        <w:t>This field shows which box on the 1099 form the information should be placed in.</w:t>
      </w:r>
    </w:p>
    <w:p>
      <w:pPr>
        <w:pStyle w:val="Normal"/>
        <w:numPr>
          <w:ilvl w:val="0"/>
          <w:numId w:val="3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 xml:space="preserve">Country: </w:t>
      </w:r>
      <w:r>
        <w:rPr>
          <w:rFonts w:cs="Calibri" w:ascii="Calibri" w:hAnsi="Calibri"/>
          <w:sz w:val="22"/>
          <w:szCs w:val="22"/>
        </w:rPr>
        <w:t>This field shows the vendor’s country of location.</w:t>
      </w:r>
    </w:p>
    <w:sectPr>
      <w:headerReference w:type="default" r:id="rId4"/>
      <w:footerReference w:type="default" r:id="rId5"/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2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rPr>
        <w:rStyle w:val="PageNumber"/>
        <w:rFonts w:eastAsia="Arial Unicode MS"/>
        <w:i/>
        <w:i/>
      </w:rPr>
    </w:pPr>
    <w:r>
      <w:rPr/>
      <w:t xml:space="preserve">NVRWA031-RWDBF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A031: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4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i/>
      </w:rPr>
      <w:t>RWDBF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Style w:val="PageNumber"/>
        <w:b w:val="false"/>
        <w:bCs/>
      </w:rPr>
      <w:t>Appendix A – Database Files</w:t>
    </w:r>
    <w:r>
      <w:rPr>
        <w:rStyle w:val="PageNumber"/>
        <w:b/>
        <w:bCs/>
      </w:rPr>
      <w:tab/>
      <w:t>Report Writer</w:t>
    </w:r>
  </w:p>
  <w:p>
    <w:pPr>
      <w:pStyle w:val="Header"/>
      <w:rPr/>
    </w:pPr>
    <w:r>
      <w:rPr>
        <w:rStyle w:val="PageNumber"/>
        <w:b/>
        <w:bCs/>
      </w:rPr>
      <w:t>Netview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NOTE:  "/>
      <w:lvlJc w:val="left"/>
      <w:pPr>
        <w:tabs>
          <w:tab w:val="num" w:pos="1080"/>
        </w:tabs>
        <w:ind w:left="3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/>
        <w:vanish w:val="false"/>
        <w:rFonts w:ascii="Verdana" w:hAnsi="Verdana" w:cs="Verdana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Verdana" w:hAnsi="Verdana" w:eastAsia="Times New Roman" w:cs="Verdana"/>
      <w:color w:val="auto"/>
      <w:sz w:val="20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Verdana" w:hAnsi="Verdana" w:cs="Verdana"/>
      <w:b/>
      <w:sz w:val="28"/>
    </w:rPr>
  </w:style>
  <w:style w:type="paragraph" w:styleId="Heading2">
    <w:name w:val="heading 2"/>
    <w:basedOn w:val="Normal"/>
    <w:next w:val="Body"/>
    <w:qFormat/>
    <w:pPr>
      <w:keepNext w:val="true"/>
      <w:numPr>
        <w:ilvl w:val="1"/>
        <w:numId w:val="1"/>
      </w:numPr>
      <w:spacing w:before="240" w:after="60"/>
      <w:jc w:val="both"/>
      <w:outlineLvl w:val="1"/>
    </w:pPr>
    <w:rPr>
      <w:rFonts w:ascii="Verdana" w:hAnsi="Verdana" w:cs="Verdana"/>
      <w:b/>
    </w:rPr>
  </w:style>
  <w:style w:type="paragraph" w:styleId="Heading3">
    <w:name w:val="heading 3"/>
    <w:basedOn w:val="Normal"/>
    <w:next w:val="BodyText"/>
    <w:qFormat/>
    <w:pPr>
      <w:keepNext w:val="true"/>
      <w:numPr>
        <w:ilvl w:val="2"/>
        <w:numId w:val="1"/>
      </w:numPr>
      <w:spacing w:before="240" w:after="0"/>
      <w:jc w:val="both"/>
      <w:outlineLvl w:val="2"/>
    </w:pPr>
    <w:rPr>
      <w:rFonts w:ascii="Verdana" w:hAnsi="Verdana" w:cs="Verdana"/>
      <w:b/>
      <w:sz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0"/>
      <w:ind w:hanging="0" w:left="331" w:right="0"/>
      <w:jc w:val="both"/>
      <w:outlineLvl w:val="3"/>
    </w:pPr>
    <w:rPr>
      <w:rFonts w:ascii="Verdana" w:hAnsi="Verdana" w:cs="Verdana"/>
      <w:b/>
      <w:bCs/>
      <w:sz w:val="2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0"/>
      <w:ind w:hanging="0" w:left="691" w:right="0"/>
      <w:jc w:val="both"/>
      <w:outlineLvl w:val="4"/>
    </w:pPr>
    <w:rPr>
      <w:rFonts w:ascii="Verdana" w:hAnsi="Verdana" w:cs="Verdana"/>
      <w:b/>
      <w:bCs/>
      <w:iCs/>
      <w:sz w:val="20"/>
      <w:szCs w:val="26"/>
    </w:rPr>
  </w:style>
  <w:style w:type="character" w:styleId="WW8Num1z0">
    <w:name w:val="WW8Num1z0"/>
    <w:qFormat/>
    <w:rPr>
      <w:rFonts w:ascii="Verdana" w:hAnsi="Verdana" w:cs="Verdana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vertAlign w:val="baseline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next w:val="Body"/>
    <w:pPr>
      <w:jc w:val="both"/>
    </w:pPr>
    <w:rPr>
      <w:rFonts w:ascii="Verdana" w:hAnsi="Verdana" w:cs="Verdana"/>
      <w:sz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">
    <w:name w:val="Body"/>
    <w:basedOn w:val="Normal"/>
    <w:qFormat/>
    <w:pPr>
      <w:spacing w:before="240" w:after="0"/>
      <w:jc w:val="both"/>
    </w:pPr>
    <w:rPr>
      <w:rFonts w:ascii="Verdana" w:hAnsi="Verdana" w:cs="Verdana"/>
      <w:sz w:val="20"/>
    </w:rPr>
  </w:style>
  <w:style w:type="paragraph" w:styleId="Command">
    <w:name w:val="Command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b/>
      <w:sz w:val="20"/>
    </w:rPr>
  </w:style>
  <w:style w:type="paragraph" w:styleId="Continued">
    <w:name w:val="Continued"/>
    <w:basedOn w:val="Heading2"/>
    <w:qFormat/>
    <w:pPr>
      <w:numPr>
        <w:ilvl w:val="0"/>
        <w:numId w:val="0"/>
      </w:numPr>
      <w:spacing w:before="0" w:after="60"/>
      <w:jc w:val="both"/>
      <w:outlineLvl w:val="9"/>
    </w:pPr>
    <w:rPr>
      <w:rFonts w:ascii="Verdana" w:hAnsi="Verdana" w:cs="Times New Roman"/>
      <w:bCs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jc w:val="both"/>
    </w:pPr>
    <w:rPr>
      <w:rFonts w:ascii="Verdana" w:hAnsi="Verdana" w:cs="Verdana"/>
      <w:sz w:val="20"/>
    </w:rPr>
  </w:style>
  <w:style w:type="paragraph" w:styleId="Footer1">
    <w:name w:val="Footer 1"/>
    <w:basedOn w:val="Footer"/>
    <w:qFormat/>
    <w:pPr>
      <w:tabs>
        <w:tab w:val="clear" w:pos="4320"/>
        <w:tab w:val="right" w:pos="8640" w:leader="none"/>
      </w:tabs>
    </w:pPr>
    <w:rPr>
      <w:i/>
      <w:sz w:val="16"/>
    </w:rPr>
  </w:style>
  <w:style w:type="paragraph" w:styleId="Header">
    <w:name w:val="header"/>
    <w:basedOn w:val="Normal"/>
    <w:pPr>
      <w:tabs>
        <w:tab w:val="clear" w:pos="720"/>
        <w:tab w:val="right" w:pos="8640" w:leader="none"/>
      </w:tabs>
      <w:jc w:val="both"/>
    </w:pPr>
    <w:rPr>
      <w:rFonts w:ascii="Verdana" w:hAnsi="Verdana" w:cs="Verdana"/>
      <w:b/>
      <w:i/>
      <w:sz w:val="20"/>
    </w:rPr>
  </w:style>
  <w:style w:type="paragraph" w:styleId="Indent">
    <w:name w:val="Indent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sz w:val="20"/>
    </w:rPr>
  </w:style>
  <w:style w:type="paragraph" w:styleId="IndentText">
    <w:name w:val="Indent Text"/>
    <w:basedOn w:val="Indent"/>
    <w:qFormat/>
    <w:pPr>
      <w:spacing w:before="0" w:after="0"/>
    </w:pPr>
    <w:rPr/>
  </w:style>
  <w:style w:type="paragraph" w:styleId="Indent2">
    <w:name w:val="Indent2"/>
    <w:basedOn w:val="Indent"/>
    <w:qFormat/>
    <w:pPr>
      <w:ind w:hanging="0" w:left="696" w:right="0"/>
    </w:pPr>
    <w:rPr/>
  </w:style>
  <w:style w:type="paragraph" w:styleId="Indent2Text">
    <w:name w:val="Indent2 Text"/>
    <w:basedOn w:val="Indent2"/>
    <w:qFormat/>
    <w:pPr>
      <w:spacing w:before="0" w:after="0"/>
      <w:ind w:hanging="0" w:left="691" w:right="0"/>
    </w:pPr>
    <w:rPr/>
  </w:style>
  <w:style w:type="paragraph" w:styleId="Note">
    <w:name w:val="Note"/>
    <w:basedOn w:val="Normal"/>
    <w:next w:val="Body"/>
    <w:qFormat/>
    <w:pPr>
      <w:numPr>
        <w:ilvl w:val="0"/>
        <w:numId w:val="2"/>
      </w:numPr>
      <w:tabs>
        <w:tab w:val="clear" w:pos="720"/>
        <w:tab w:val="left" w:pos="888" w:leader="none"/>
      </w:tabs>
      <w:spacing w:before="240" w:after="0"/>
      <w:ind w:hanging="0" w:left="0" w:right="0"/>
    </w:pPr>
    <w:rPr/>
  </w:style>
  <w:style w:type="paragraph" w:styleId="Note2">
    <w:name w:val="Note2"/>
    <w:basedOn w:val="Note"/>
    <w:next w:val="Body"/>
    <w:qFormat/>
    <w:pPr>
      <w:numPr>
        <w:ilvl w:val="0"/>
        <w:numId w:val="0"/>
      </w:numPr>
      <w:tabs>
        <w:tab w:val="left" w:pos="888" w:leader="none"/>
        <w:tab w:val="left" w:pos="1248" w:leader="none"/>
      </w:tabs>
      <w:ind w:hanging="0" w:left="360" w:right="0"/>
    </w:pPr>
    <w:rPr/>
  </w:style>
  <w:style w:type="paragraph" w:styleId="Screen">
    <w:name w:val="Screen"/>
    <w:basedOn w:val="Normal"/>
    <w:qFormat/>
    <w:pPr>
      <w:jc w:val="left"/>
    </w:pPr>
    <w:rPr>
      <w:rFonts w:ascii="Courier New" w:hAnsi="Courier New" w:cs="Courier New"/>
      <w:b/>
      <w:sz w:val="18"/>
    </w:rPr>
  </w:style>
  <w:style w:type="paragraph" w:styleId="TOC1">
    <w:name w:val="toc 1"/>
    <w:basedOn w:val="Normal"/>
    <w:pPr>
      <w:tabs>
        <w:tab w:val="clear" w:pos="720"/>
        <w:tab w:val="right" w:pos="8640" w:leader="dot"/>
      </w:tabs>
      <w:spacing w:before="180" w:after="120"/>
    </w:pPr>
    <w:rPr>
      <w:b/>
    </w:rPr>
  </w:style>
  <w:style w:type="paragraph" w:styleId="TOC2">
    <w:name w:val="toc 2"/>
    <w:basedOn w:val="Normal"/>
    <w:pPr>
      <w:tabs>
        <w:tab w:val="clear" w:pos="720"/>
        <w:tab w:val="right" w:pos="8640" w:leader="dot"/>
      </w:tabs>
      <w:ind w:hanging="0" w:left="200" w:right="0"/>
    </w:pPr>
    <w:rPr/>
  </w:style>
  <w:style w:type="paragraph" w:styleId="TOCBase">
    <w:name w:val="TOC Base"/>
    <w:basedOn w:val="Heading2"/>
    <w:next w:val="TOC1"/>
    <w:qFormat/>
    <w:pPr>
      <w:numPr>
        <w:ilvl w:val="0"/>
        <w:numId w:val="0"/>
      </w:numPr>
      <w:tabs>
        <w:tab w:val="clear" w:pos="720"/>
        <w:tab w:val="right" w:pos="8640" w:leader="none"/>
      </w:tabs>
      <w:spacing w:before="0" w:after="0"/>
      <w:outlineLvl w:val="9"/>
    </w:pPr>
    <w:rPr>
      <w:sz w:val="24"/>
      <w:u w:val="single"/>
    </w:rPr>
  </w:style>
  <w:style w:type="paragraph" w:styleId="TOC3">
    <w:name w:val="TOC3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4144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2015-10-16T21:52:00Z</dcterms:created>
  <dc:creator>sdavis</dc:creator>
  <dc:description/>
  <cp:keywords/>
  <dc:language>en-US</dc:language>
  <cp:lastModifiedBy>HBS Systems</cp:lastModifiedBy>
  <cp:lastPrinted>2007-04-04T16:18:00Z</cp:lastPrinted>
  <dcterms:modified xsi:type="dcterms:W3CDTF">2018-01-31T19:17:00Z</dcterms:modified>
  <cp:revision>5</cp:revision>
  <dc:subject/>
  <dc:title>Accounts Payable Vendors</dc:title>
</cp:coreProperties>
</file>