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false"/>
        <w:spacing w:before="120" w:after="60"/>
        <w:ind w:hanging="0" w:left="0"/>
        <w:rPr>
          <w:rFonts w:ascii="Calibri" w:hAnsi="Calibri" w:cs="Calibri"/>
          <w:b w:val="false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Rental Taxing Authority File: </w:t>
      </w:r>
      <w:r>
        <w:rPr>
          <w:rFonts w:cs="Calibri" w:ascii="Calibri" w:hAnsi="Calibri"/>
          <w:b w:val="false"/>
          <w:sz w:val="22"/>
          <w:szCs w:val="22"/>
        </w:rPr>
        <w:t>This file pulls information from the Rental Management rental taxing authority file (tax info).</w:t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2"/>
        <w:keepNext w:val="false"/>
        <w:spacing w:before="120" w:after="60"/>
        <w:ind w:hanging="0" w:left="0"/>
        <w:jc w:val="center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drawing>
          <wp:inline distT="0" distB="0" distL="0" distR="0">
            <wp:extent cx="4029075" cy="288607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88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Tax Authority: </w:t>
      </w:r>
      <w:r>
        <w:rPr>
          <w:rFonts w:cs="Calibri" w:ascii="Calibri" w:hAnsi="Calibri"/>
          <w:b w:val="false"/>
          <w:sz w:val="22"/>
          <w:szCs w:val="22"/>
        </w:rPr>
        <w:t>This field shows the name or number of the tax authority.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Description: </w:t>
      </w:r>
      <w:r>
        <w:rPr>
          <w:rFonts w:cs="Calibri" w:ascii="Calibri" w:hAnsi="Calibri"/>
          <w:b w:val="false"/>
          <w:sz w:val="22"/>
          <w:szCs w:val="22"/>
        </w:rPr>
        <w:t>This field gives the description of the tax authority.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Tax Code: </w:t>
      </w:r>
      <w:r>
        <w:rPr>
          <w:rFonts w:cs="Calibri" w:ascii="Calibri" w:hAnsi="Calibri"/>
          <w:b w:val="false"/>
          <w:sz w:val="22"/>
          <w:szCs w:val="22"/>
        </w:rPr>
        <w:t>This field shows the tax code reference to the POS tax rates.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Income Taxable Acct: </w:t>
      </w:r>
      <w:r>
        <w:rPr>
          <w:rFonts w:cs="Calibri" w:ascii="Calibri" w:hAnsi="Calibri"/>
          <w:b w:val="false"/>
          <w:sz w:val="22"/>
          <w:szCs w:val="22"/>
        </w:rPr>
        <w:t xml:space="preserve">This field may hold the general ledger account where taxable income from this tax authority should be directed.  </w:t>
      </w:r>
      <w:r>
        <w:rPr>
          <w:rFonts w:cs="Calibri" w:ascii="Calibri" w:hAnsi="Calibri"/>
          <w:sz w:val="22"/>
          <w:szCs w:val="22"/>
        </w:rPr>
        <w:t>This is usually left blank.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Income NonTax Acct: </w:t>
      </w:r>
      <w:r>
        <w:rPr>
          <w:rFonts w:cs="Calibri" w:ascii="Calibri" w:hAnsi="Calibri"/>
          <w:b w:val="false"/>
          <w:sz w:val="22"/>
          <w:szCs w:val="22"/>
        </w:rPr>
        <w:t xml:space="preserve">This field may hold the general ledger account where non-taxable income from this tax authority should be directed.  </w:t>
      </w:r>
      <w:r>
        <w:rPr>
          <w:rFonts w:cs="Calibri" w:ascii="Calibri" w:hAnsi="Calibri"/>
          <w:sz w:val="22"/>
          <w:szCs w:val="22"/>
        </w:rPr>
        <w:t>This is usually left blank.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Equip Rental Taxable: </w:t>
      </w:r>
      <w:r>
        <w:rPr>
          <w:rFonts w:cs="Calibri" w:ascii="Calibri" w:hAnsi="Calibri"/>
          <w:b w:val="false"/>
          <w:sz w:val="22"/>
          <w:szCs w:val="22"/>
        </w:rPr>
        <w:t xml:space="preserve">Is rental income taxable under this authority? The field will show one of the following in answer: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Y=Yes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N=No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D=Default to the contract set-up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Parts Sales Taxable: </w:t>
      </w:r>
      <w:r>
        <w:rPr>
          <w:rFonts w:cs="Calibri" w:ascii="Calibri" w:hAnsi="Calibri"/>
          <w:b w:val="false"/>
          <w:sz w:val="22"/>
          <w:szCs w:val="22"/>
        </w:rPr>
        <w:t>This field is not in use at this time.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Misc Sales Taxable: </w:t>
      </w:r>
      <w:r>
        <w:rPr>
          <w:rFonts w:cs="Calibri" w:ascii="Calibri" w:hAnsi="Calibri"/>
          <w:b w:val="false"/>
          <w:sz w:val="22"/>
          <w:szCs w:val="22"/>
        </w:rPr>
        <w:t xml:space="preserve">Are the taxable miscellaneous charges taxable under this authority? The field will show one of the following in answer: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Y=Yes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N=No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D=Default to the contract set-up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Setup Fees Taxable: </w:t>
      </w:r>
      <w:r>
        <w:rPr>
          <w:rFonts w:cs="Calibri" w:ascii="Calibri" w:hAnsi="Calibri"/>
          <w:b w:val="false"/>
          <w:sz w:val="22"/>
          <w:szCs w:val="22"/>
        </w:rPr>
        <w:t xml:space="preserve">Is the setup fee taxable under this authority? The field will show one of the following in answer: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Y=Yes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N=No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D=Default to the contract setup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Cleanup Fees Taxable: </w:t>
      </w:r>
      <w:r>
        <w:rPr>
          <w:rFonts w:cs="Calibri" w:ascii="Calibri" w:hAnsi="Calibri"/>
          <w:b w:val="false"/>
          <w:sz w:val="22"/>
          <w:szCs w:val="22"/>
        </w:rPr>
        <w:t xml:space="preserve">Is the cleanup fee taxable under this authority? The field will show one of the following in answer: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Y=Yes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N=No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D=Default to the contract setup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Delivery Fees Taxabl: </w:t>
      </w:r>
      <w:r>
        <w:rPr>
          <w:rFonts w:cs="Calibri" w:ascii="Calibri" w:hAnsi="Calibri"/>
          <w:b w:val="false"/>
          <w:sz w:val="22"/>
          <w:szCs w:val="22"/>
        </w:rPr>
        <w:t xml:space="preserve">Is the delivery fee taxable under this authority? The field will show one of the following in answer: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Y=Yes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N=No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D=Default to the contract set-up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Refueling Fees Taxab: </w:t>
      </w:r>
      <w:r>
        <w:rPr>
          <w:rFonts w:cs="Calibri" w:ascii="Calibri" w:hAnsi="Calibri"/>
          <w:b w:val="false"/>
          <w:sz w:val="22"/>
          <w:szCs w:val="22"/>
        </w:rPr>
        <w:t xml:space="preserve">Is the refueling fee taxable under this authority? The field will show one of the following in answer: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Y=Yes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N=No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D=Default to the contract set-up</w:t>
      </w:r>
    </w:p>
    <w:sectPr>
      <w:headerReference w:type="default" r:id="rId3"/>
      <w:footerReference w:type="default" r:id="rId4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NVRWA039-RWDBF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A039: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2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Style w:val="PageNumber"/>
        <w:b w:val="false"/>
        <w:bCs/>
      </w:rPr>
      <w:t>Appendix A – Database Files</w:t>
    </w:r>
    <w:r>
      <w:rPr>
        <w:rStyle w:val="PageNumber"/>
        <w:b/>
        <w:bCs/>
      </w:rPr>
      <w:tab/>
      <w:t xml:space="preserve"> Report Writer</w:t>
    </w:r>
  </w:p>
  <w:p>
    <w:pPr>
      <w:pStyle w:val="Header"/>
      <w:rPr/>
    </w:pPr>
    <w:r>
      <w:rPr>
        <w:rStyle w:val="PageNumber"/>
        <w:b/>
        <w:bCs/>
      </w:rPr>
      <w:t>Netview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1002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2015-10-19T21:54:00Z</dcterms:created>
  <dc:creator>sdavis</dc:creator>
  <dc:description/>
  <cp:keywords/>
  <dc:language>en-US</dc:language>
  <cp:lastModifiedBy>Shelby Lund</cp:lastModifiedBy>
  <cp:lastPrinted>2007-04-20T10:31:00Z</cp:lastPrinted>
  <dcterms:modified xsi:type="dcterms:W3CDTF">2015-10-20T14:36:00Z</dcterms:modified>
  <cp:revision>4</cp:revision>
  <dc:subject/>
  <dc:title>Rental Taxing Authority File</dc:title>
</cp:coreProperties>
</file>