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keepNext w:val="false"/>
        <w:spacing w:before="120" w:after="0"/>
        <w:ind w:hanging="0" w:left="0"/>
        <w:rPr>
          <w:rFonts w:ascii="Calibri" w:hAnsi="Calibri" w:cs="Calibri"/>
          <w:b w:val="false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 xml:space="preserve">AGCO Finance Manager Manufacturer Codes File: </w:t>
      </w:r>
      <w:r>
        <w:rPr>
          <w:rFonts w:cs="Calibri" w:ascii="Calibri" w:hAnsi="Calibri"/>
          <w:b w:val="false"/>
          <w:sz w:val="22"/>
          <w:szCs w:val="22"/>
        </w:rPr>
        <w:t>This file pulls information from the AGCO Finance Manager Manufacturer Codes File.</w:t>
      </w:r>
    </w:p>
    <w:p>
      <w:pPr>
        <w:pStyle w:val="Body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3"/>
        <w:keepNext w:val="false"/>
        <w:spacing w:before="120" w:after="0"/>
        <w:ind w:hanging="0" w:left="0"/>
        <w:jc w:val="center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drawing>
          <wp:inline distT="0" distB="0" distL="0" distR="0">
            <wp:extent cx="3990975" cy="292417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2924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Manufacturer Name: </w:t>
      </w:r>
      <w:r>
        <w:rPr>
          <w:rFonts w:cs="Calibri" w:ascii="Calibri" w:hAnsi="Calibri"/>
          <w:b w:val="false"/>
          <w:sz w:val="22"/>
          <w:szCs w:val="22"/>
        </w:rPr>
        <w:t xml:space="preserve">This field holds the manufacturer name.  The information in this field is AGCO-provided information.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AgriCredit Prod CD: </w:t>
      </w:r>
      <w:r>
        <w:rPr>
          <w:rFonts w:cs="Calibri" w:ascii="Calibri" w:hAnsi="Calibri"/>
          <w:b w:val="false"/>
          <w:sz w:val="22"/>
          <w:szCs w:val="22"/>
        </w:rPr>
        <w:t xml:space="preserve">This field holds the AgriCredit Product Code.  Any information in this field is AGCO-provided information. 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IS Product Code: </w:t>
      </w:r>
      <w:r>
        <w:rPr>
          <w:rFonts w:cs="Calibri" w:ascii="Calibri" w:hAnsi="Calibri"/>
          <w:b w:val="false"/>
          <w:sz w:val="22"/>
          <w:szCs w:val="22"/>
        </w:rPr>
        <w:t xml:space="preserve">This field holds up to a five-character code for the type of equipment within a category.  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HBS Units Make: </w:t>
      </w:r>
      <w:r>
        <w:rPr>
          <w:rFonts w:cs="Calibri" w:ascii="Calibri" w:hAnsi="Calibri"/>
          <w:b w:val="false"/>
          <w:sz w:val="22"/>
          <w:szCs w:val="22"/>
        </w:rPr>
        <w:t xml:space="preserve">This field shows the information in the make field on the HBS Business System.   </w:t>
      </w:r>
    </w:p>
    <w:sectPr>
      <w:headerReference w:type="default" r:id="rId3"/>
      <w:footerReference w:type="default" r:id="rId4"/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2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rPr>
        <w:rStyle w:val="PageNumber"/>
        <w:rFonts w:eastAsia="Arial Unicode MS"/>
        <w:i/>
        <w:i/>
      </w:rPr>
    </w:pPr>
    <w:r>
      <w:rPr/>
      <w:t xml:space="preserve">NVRWA044-RWDBF </w:t>
    </w:r>
    <w:r>
      <w:rPr/>
      <w:fldChar w:fldCharType="begin"/>
    </w:r>
    <w:r>
      <w:rPr/>
      <w:instrText xml:space="preserve"> DATE \@"M\/d\/yyyy" </w:instrText>
    </w:r>
    <w:r>
      <w:rPr/>
      <w:fldChar w:fldCharType="separate"/>
    </w:r>
    <w:r>
      <w:rPr/>
      <w:t>1/17/2026</w:t>
    </w:r>
    <w:r>
      <w:rPr/>
      <w:fldChar w:fldCharType="end"/>
    </w:r>
    <w:r>
      <w:rPr/>
      <w:tab/>
    </w:r>
    <w:r>
      <w:rPr>
        <w:b/>
        <w:i w:val="false"/>
        <w:sz w:val="24"/>
      </w:rPr>
      <w:t>A044:</w:t>
    </w:r>
    <w:r>
      <w:rPr>
        <w:rStyle w:val="PageNumber"/>
        <w:i/>
        <w:sz w:val="24"/>
      </w:rPr>
      <w:fldChar w:fldCharType="begin"/>
    </w:r>
    <w:r>
      <w:rPr>
        <w:rStyle w:val="PageNumber"/>
        <w:sz w:val="24"/>
        <w:i/>
      </w:rPr>
      <w:instrText xml:space="preserve"> PAGE </w:instrText>
    </w:r>
    <w:r>
      <w:rPr>
        <w:rStyle w:val="PageNumber"/>
        <w:sz w:val="24"/>
        <w:i/>
      </w:rPr>
      <w:fldChar w:fldCharType="separate"/>
    </w:r>
    <w:r>
      <w:rPr>
        <w:rStyle w:val="PageNumber"/>
        <w:sz w:val="24"/>
        <w:i/>
      </w:rPr>
      <w:t>1</w:t>
    </w:r>
    <w:r>
      <w:rPr>
        <w:rStyle w:val="PageNumber"/>
        <w:sz w:val="24"/>
        <w:i/>
      </w:rPr>
      <w:fldChar w:fldCharType="end"/>
    </w:r>
  </w:p>
  <w:p>
    <w:pPr>
      <w:pStyle w:val="Footer"/>
      <w:rPr/>
    </w:pPr>
    <w:r>
      <w:rPr>
        <w:rStyle w:val="PageNumber"/>
      </w:rPr>
      <w:t>HBS Systems</w:t>
      <w:tab/>
      <w:tab/>
    </w:r>
    <w:r>
      <w:rPr>
        <w:rStyle w:val="PageNumber"/>
        <w:b w:val="false"/>
        <w:i/>
      </w:rPr>
      <w:t>RWDBF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Style w:val="PageNumber"/>
        <w:b w:val="false"/>
        <w:bCs/>
      </w:rPr>
      <w:t>Appendix A – Database Files</w:t>
    </w:r>
    <w:r>
      <w:rPr>
        <w:rStyle w:val="PageNumber"/>
        <w:b/>
        <w:bCs/>
      </w:rPr>
      <w:tab/>
      <w:t>Report Writer</w:t>
    </w:r>
  </w:p>
  <w:p>
    <w:pPr>
      <w:pStyle w:val="Header"/>
      <w:rPr/>
    </w:pPr>
    <w:r>
      <w:rPr>
        <w:rStyle w:val="PageNumber"/>
        <w:b/>
        <w:bCs/>
      </w:rPr>
      <w:t>Netview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NOTE:  "/>
      <w:lvlJc w:val="left"/>
      <w:pPr>
        <w:tabs>
          <w:tab w:val="num" w:pos="1080"/>
        </w:tabs>
        <w:ind w:left="36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/>
        <w:vanish w:val="false"/>
        <w:rFonts w:ascii="Verdana" w:hAnsi="Verdana" w:cs="Verdana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Verdana" w:hAnsi="Verdana" w:eastAsia="Times New Roman" w:cs="Verdana"/>
      <w:color w:val="auto"/>
      <w:sz w:val="20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Verdana" w:hAnsi="Verdana" w:cs="Verdana"/>
      <w:b/>
      <w:sz w:val="28"/>
    </w:rPr>
  </w:style>
  <w:style w:type="paragraph" w:styleId="Heading2">
    <w:name w:val="heading 2"/>
    <w:basedOn w:val="Normal"/>
    <w:next w:val="Body"/>
    <w:qFormat/>
    <w:pPr>
      <w:keepNext w:val="true"/>
      <w:numPr>
        <w:ilvl w:val="1"/>
        <w:numId w:val="1"/>
      </w:numPr>
      <w:spacing w:before="240" w:after="60"/>
      <w:jc w:val="both"/>
      <w:outlineLvl w:val="1"/>
    </w:pPr>
    <w:rPr>
      <w:rFonts w:ascii="Verdana" w:hAnsi="Verdana" w:cs="Verdana"/>
      <w:b/>
    </w:rPr>
  </w:style>
  <w:style w:type="paragraph" w:styleId="Heading3">
    <w:name w:val="heading 3"/>
    <w:basedOn w:val="Normal"/>
    <w:next w:val="BodyText"/>
    <w:qFormat/>
    <w:pPr>
      <w:keepNext w:val="true"/>
      <w:numPr>
        <w:ilvl w:val="2"/>
        <w:numId w:val="1"/>
      </w:numPr>
      <w:spacing w:before="240" w:after="0"/>
      <w:jc w:val="both"/>
      <w:outlineLvl w:val="2"/>
    </w:pPr>
    <w:rPr>
      <w:rFonts w:ascii="Verdana" w:hAnsi="Verdana" w:cs="Verdana"/>
      <w:b/>
      <w:sz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0"/>
      <w:ind w:hanging="0" w:left="331" w:right="0"/>
      <w:jc w:val="both"/>
      <w:outlineLvl w:val="3"/>
    </w:pPr>
    <w:rPr>
      <w:rFonts w:ascii="Verdana" w:hAnsi="Verdana" w:cs="Verdana"/>
      <w:b/>
      <w:bCs/>
      <w:sz w:val="2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0"/>
      <w:ind w:hanging="0" w:left="691" w:right="0"/>
      <w:jc w:val="both"/>
      <w:outlineLvl w:val="4"/>
    </w:pPr>
    <w:rPr>
      <w:rFonts w:ascii="Verdana" w:hAnsi="Verdana" w:cs="Verdana"/>
      <w:b/>
      <w:bCs/>
      <w:iCs/>
      <w:sz w:val="20"/>
      <w:szCs w:val="26"/>
    </w:rPr>
  </w:style>
  <w:style w:type="character" w:styleId="WW8Num1z0">
    <w:name w:val="WW8Num1z0"/>
    <w:qFormat/>
    <w:rPr>
      <w:rFonts w:ascii="Verdana" w:hAnsi="Verdana" w:cs="Verdana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vertAlign w:val="baseline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rFonts w:ascii="Verdana" w:hAnsi="Verdana" w:cs="Verdana"/>
      <w:b/>
      <w:strike w:val="false"/>
      <w:dstrike w:val="false"/>
      <w:position w:val="0"/>
      <w:sz w:val="20"/>
      <w:sz w:val="2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next w:val="Body"/>
    <w:pPr>
      <w:jc w:val="both"/>
    </w:pPr>
    <w:rPr>
      <w:rFonts w:ascii="Verdana" w:hAnsi="Verdana" w:cs="Verdana"/>
      <w:sz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">
    <w:name w:val="Body"/>
    <w:basedOn w:val="Normal"/>
    <w:qFormat/>
    <w:pPr>
      <w:spacing w:before="240" w:after="0"/>
      <w:jc w:val="both"/>
    </w:pPr>
    <w:rPr>
      <w:rFonts w:ascii="Verdana" w:hAnsi="Verdana" w:cs="Verdana"/>
      <w:sz w:val="20"/>
    </w:rPr>
  </w:style>
  <w:style w:type="paragraph" w:styleId="Command">
    <w:name w:val="Command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b/>
      <w:sz w:val="20"/>
    </w:rPr>
  </w:style>
  <w:style w:type="paragraph" w:styleId="Continued">
    <w:name w:val="Continued"/>
    <w:basedOn w:val="Heading2"/>
    <w:qFormat/>
    <w:pPr>
      <w:numPr>
        <w:ilvl w:val="0"/>
        <w:numId w:val="0"/>
      </w:numPr>
      <w:spacing w:before="0" w:after="60"/>
      <w:jc w:val="both"/>
      <w:outlineLvl w:val="9"/>
    </w:pPr>
    <w:rPr>
      <w:rFonts w:ascii="Verdana" w:hAnsi="Verdana" w:cs="Times New Roman"/>
      <w:bCs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jc w:val="both"/>
    </w:pPr>
    <w:rPr>
      <w:rFonts w:ascii="Verdana" w:hAnsi="Verdana" w:cs="Verdana"/>
      <w:sz w:val="20"/>
    </w:rPr>
  </w:style>
  <w:style w:type="paragraph" w:styleId="Footer1">
    <w:name w:val="Footer 1"/>
    <w:basedOn w:val="Footer"/>
    <w:qFormat/>
    <w:pPr>
      <w:tabs>
        <w:tab w:val="clear" w:pos="4320"/>
        <w:tab w:val="right" w:pos="8640" w:leader="none"/>
      </w:tabs>
    </w:pPr>
    <w:rPr>
      <w:i/>
      <w:sz w:val="16"/>
    </w:rPr>
  </w:style>
  <w:style w:type="paragraph" w:styleId="Header">
    <w:name w:val="header"/>
    <w:basedOn w:val="Normal"/>
    <w:pPr>
      <w:tabs>
        <w:tab w:val="clear" w:pos="720"/>
        <w:tab w:val="right" w:pos="8640" w:leader="none"/>
      </w:tabs>
      <w:jc w:val="both"/>
    </w:pPr>
    <w:rPr>
      <w:rFonts w:ascii="Verdana" w:hAnsi="Verdana" w:cs="Verdana"/>
      <w:b/>
      <w:i/>
      <w:sz w:val="20"/>
    </w:rPr>
  </w:style>
  <w:style w:type="paragraph" w:styleId="Indent">
    <w:name w:val="Indent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sz w:val="20"/>
    </w:rPr>
  </w:style>
  <w:style w:type="paragraph" w:styleId="IndentText">
    <w:name w:val="Indent Text"/>
    <w:basedOn w:val="Indent"/>
    <w:qFormat/>
    <w:pPr>
      <w:spacing w:before="0" w:after="0"/>
    </w:pPr>
    <w:rPr/>
  </w:style>
  <w:style w:type="paragraph" w:styleId="Indent2">
    <w:name w:val="Indent2"/>
    <w:basedOn w:val="Indent"/>
    <w:qFormat/>
    <w:pPr>
      <w:ind w:hanging="0" w:left="696" w:right="0"/>
    </w:pPr>
    <w:rPr/>
  </w:style>
  <w:style w:type="paragraph" w:styleId="Indent2Text">
    <w:name w:val="Indent2 Text"/>
    <w:basedOn w:val="Indent2"/>
    <w:qFormat/>
    <w:pPr>
      <w:spacing w:before="0" w:after="0"/>
      <w:ind w:hanging="0" w:left="691" w:right="0"/>
    </w:pPr>
    <w:rPr/>
  </w:style>
  <w:style w:type="paragraph" w:styleId="Note">
    <w:name w:val="Note"/>
    <w:basedOn w:val="Normal"/>
    <w:next w:val="Body"/>
    <w:qFormat/>
    <w:pPr>
      <w:numPr>
        <w:ilvl w:val="0"/>
        <w:numId w:val="2"/>
      </w:numPr>
      <w:tabs>
        <w:tab w:val="clear" w:pos="720"/>
        <w:tab w:val="left" w:pos="888" w:leader="none"/>
      </w:tabs>
      <w:spacing w:before="240" w:after="0"/>
      <w:ind w:hanging="0" w:left="0" w:right="0"/>
    </w:pPr>
    <w:rPr/>
  </w:style>
  <w:style w:type="paragraph" w:styleId="Note2">
    <w:name w:val="Note2"/>
    <w:basedOn w:val="Note"/>
    <w:next w:val="Body"/>
    <w:qFormat/>
    <w:pPr>
      <w:numPr>
        <w:ilvl w:val="0"/>
        <w:numId w:val="0"/>
      </w:numPr>
      <w:tabs>
        <w:tab w:val="left" w:pos="888" w:leader="none"/>
        <w:tab w:val="left" w:pos="1248" w:leader="none"/>
      </w:tabs>
      <w:ind w:hanging="0" w:left="360" w:right="0"/>
    </w:pPr>
    <w:rPr/>
  </w:style>
  <w:style w:type="paragraph" w:styleId="Screen">
    <w:name w:val="Screen"/>
    <w:basedOn w:val="Normal"/>
    <w:qFormat/>
    <w:pPr>
      <w:jc w:val="left"/>
    </w:pPr>
    <w:rPr>
      <w:rFonts w:ascii="Courier New" w:hAnsi="Courier New" w:cs="Courier New"/>
      <w:b/>
      <w:sz w:val="18"/>
    </w:rPr>
  </w:style>
  <w:style w:type="paragraph" w:styleId="TOC1">
    <w:name w:val="toc 1"/>
    <w:basedOn w:val="Normal"/>
    <w:pPr>
      <w:tabs>
        <w:tab w:val="clear" w:pos="720"/>
        <w:tab w:val="right" w:pos="8640" w:leader="dot"/>
      </w:tabs>
      <w:spacing w:before="180" w:after="120"/>
    </w:pPr>
    <w:rPr>
      <w:b/>
    </w:rPr>
  </w:style>
  <w:style w:type="paragraph" w:styleId="TOC2">
    <w:name w:val="toc 2"/>
    <w:basedOn w:val="Normal"/>
    <w:pPr>
      <w:tabs>
        <w:tab w:val="clear" w:pos="720"/>
        <w:tab w:val="right" w:pos="8640" w:leader="dot"/>
      </w:tabs>
      <w:ind w:hanging="0" w:left="200" w:right="0"/>
    </w:pPr>
    <w:rPr/>
  </w:style>
  <w:style w:type="paragraph" w:styleId="TOCBase">
    <w:name w:val="TOC Base"/>
    <w:basedOn w:val="Heading2"/>
    <w:next w:val="TOC1"/>
    <w:qFormat/>
    <w:pPr>
      <w:numPr>
        <w:ilvl w:val="0"/>
        <w:numId w:val="0"/>
      </w:numPr>
      <w:tabs>
        <w:tab w:val="clear" w:pos="720"/>
        <w:tab w:val="right" w:pos="8640" w:leader="none"/>
      </w:tabs>
      <w:spacing w:before="0" w:after="0"/>
      <w:outlineLvl w:val="9"/>
    </w:pPr>
    <w:rPr>
      <w:sz w:val="24"/>
      <w:u w:val="single"/>
    </w:rPr>
  </w:style>
  <w:style w:type="paragraph" w:styleId="TOC3">
    <w:name w:val="TOC3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2015-10-20T16:32:00Z</dcterms:created>
  <dc:creator>sdavis</dc:creator>
  <dc:description/>
  <cp:keywords/>
  <dc:language>en-US</dc:language>
  <cp:lastModifiedBy>Shelby Lund</cp:lastModifiedBy>
  <dcterms:modified xsi:type="dcterms:W3CDTF">2015-10-20T16:34:00Z</dcterms:modified>
  <cp:revision>3</cp:revision>
  <dc:subject/>
  <dc:title>AGCO Finance Manager Manufacturer Codes File</dc:title>
</cp:coreProperties>
</file>