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spacing w:before="120" w:after="60"/>
        <w:ind w:hanging="0" w:left="0"/>
        <w:rPr>
          <w:rFonts w:ascii="Calibri" w:hAnsi="Calibri" w:cs="Calibri"/>
          <w:b w:val="false"/>
          <w:sz w:val="28"/>
          <w:szCs w:val="28"/>
        </w:rPr>
      </w:pPr>
      <w:r>
        <w:rPr>
          <w:rFonts w:cs="Calibri" w:ascii="Calibri" w:hAnsi="Calibri"/>
          <w:sz w:val="28"/>
          <w:szCs w:val="28"/>
        </w:rPr>
        <w:t xml:space="preserve">Service Standard Labor Charges File: </w:t>
      </w:r>
      <w:r>
        <w:rPr>
          <w:rFonts w:cs="Calibri" w:ascii="Calibri" w:hAnsi="Calibri"/>
          <w:b w:val="false"/>
          <w:sz w:val="22"/>
          <w:szCs w:val="22"/>
        </w:rPr>
        <w:t>This field pulls information from the Standard Labor Charges (SLC) File.</w:t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2"/>
        <w:keepNext w:val="false"/>
        <w:spacing w:before="120" w:after="60"/>
        <w:ind w:hanging="0" w:left="0"/>
        <w:jc w:val="center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drawing>
          <wp:inline distT="0" distB="0" distL="0" distR="0">
            <wp:extent cx="4038600" cy="2819400"/>
            <wp:effectExtent l="0" t="0" r="0" b="0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rcRect l="-9" t="-13" r="-9" b="-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819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Body"/>
        <w:spacing w:before="120" w:after="0"/>
        <w:rPr>
          <w:rFonts w:ascii="Calibri" w:hAnsi="Calibri" w:cs="Calibri"/>
          <w:b/>
          <w:sz w:val="22"/>
          <w:szCs w:val="22"/>
        </w:rPr>
      </w:pPr>
      <w:r>
        <w:rPr>
          <w:rFonts w:cs="Calibri" w:ascii="Calibri" w:hAnsi="Calibri"/>
          <w:b/>
          <w:sz w:val="22"/>
          <w:szCs w:val="22"/>
        </w:rPr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Warranty Book: </w:t>
      </w:r>
      <w:r>
        <w:rPr>
          <w:rFonts w:cs="Calibri" w:ascii="Calibri" w:hAnsi="Calibri"/>
          <w:b w:val="false"/>
          <w:sz w:val="22"/>
          <w:szCs w:val="22"/>
        </w:rPr>
        <w:t xml:space="preserve">This field holds the designation for DEALER or MISCITEM if there is no manufacturer identified. 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If there is a manufacturer present, it will show that manufacturer here.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Labor Op Code: </w:t>
      </w:r>
      <w:r>
        <w:rPr>
          <w:rFonts w:cs="Calibri" w:ascii="Calibri" w:hAnsi="Calibri"/>
          <w:b w:val="false"/>
          <w:sz w:val="22"/>
          <w:szCs w:val="22"/>
        </w:rPr>
        <w:t>This field holds the Op code defined.</w:t>
      </w:r>
      <w:r>
        <w:rPr>
          <w:rFonts w:cs="Calibri" w:ascii="Calibri" w:hAnsi="Calibri"/>
          <w:sz w:val="22"/>
          <w:szCs w:val="22"/>
        </w:rPr>
        <w:t xml:space="preserve">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Manufacturer: </w:t>
      </w:r>
      <w:r>
        <w:rPr>
          <w:rFonts w:cs="Calibri" w:ascii="Calibri" w:hAnsi="Calibri"/>
          <w:b w:val="false"/>
          <w:sz w:val="22"/>
          <w:szCs w:val="22"/>
        </w:rPr>
        <w:t>This field may hold the manufacturer code.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Keyword: </w:t>
      </w:r>
      <w:r>
        <w:rPr>
          <w:rFonts w:cs="Calibri" w:ascii="Calibri" w:hAnsi="Calibri"/>
          <w:b w:val="false"/>
          <w:sz w:val="22"/>
          <w:szCs w:val="22"/>
        </w:rPr>
        <w:t>This is a 16-character field for a keyword or shortcut to identify the Op Code.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Fixed Amount: </w:t>
      </w:r>
      <w:r>
        <w:rPr>
          <w:rFonts w:cs="Calibri" w:ascii="Calibri" w:hAnsi="Calibri"/>
          <w:b w:val="false"/>
          <w:sz w:val="22"/>
          <w:szCs w:val="22"/>
        </w:rPr>
        <w:t>If there is a fixed dollar amount to be billed for this particular labor operation, you may find that in this field.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Standard Hours: </w:t>
      </w:r>
      <w:r>
        <w:rPr>
          <w:rFonts w:cs="Calibri" w:ascii="Calibri" w:hAnsi="Calibri"/>
          <w:b w:val="false"/>
          <w:sz w:val="22"/>
          <w:szCs w:val="22"/>
        </w:rPr>
        <w:t>If this is a warranty labor operation or if there is a reference to the manufacturer’s guideline for the number of hours, you may find the number of standard hours in this field.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Short Description: </w:t>
      </w:r>
      <w:r>
        <w:rPr>
          <w:rFonts w:cs="Calibri" w:ascii="Calibri" w:hAnsi="Calibri"/>
          <w:b w:val="false"/>
          <w:sz w:val="22"/>
          <w:szCs w:val="22"/>
        </w:rPr>
        <w:t>This 36-character field holds a brief description of the repair to be done.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Sublet Flag: </w:t>
      </w:r>
      <w:r>
        <w:rPr>
          <w:rFonts w:cs="Calibri" w:ascii="Calibri" w:hAnsi="Calibri"/>
          <w:b w:val="false"/>
          <w:sz w:val="22"/>
          <w:szCs w:val="22"/>
        </w:rPr>
        <w:t xml:space="preserve">Is this labor sublet labor? 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>Y” indicates that it is sublet labor.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>N” means it is not.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Misc Item Flag: </w:t>
      </w:r>
      <w:r>
        <w:rPr>
          <w:rFonts w:cs="Calibri" w:ascii="Calibri" w:hAnsi="Calibri"/>
          <w:b w:val="false"/>
          <w:sz w:val="22"/>
          <w:szCs w:val="22"/>
        </w:rPr>
        <w:t xml:space="preserve">Is this a miscellaneous item? 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>Y” indicates that it is a miscellaneous item.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>N” means it is not.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Item Is Tax Exempt: </w:t>
      </w:r>
      <w:r>
        <w:rPr>
          <w:rFonts w:cs="Calibri" w:ascii="Calibri" w:hAnsi="Calibri"/>
          <w:b w:val="false"/>
          <w:sz w:val="22"/>
          <w:szCs w:val="22"/>
        </w:rPr>
        <w:t xml:space="preserve">Is this labor always tax exempt? 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 xml:space="preserve">Y” indicates that it is always non-taxable.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>N” means it is a taxable charge.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Invoicing Option</w:t>
      </w:r>
      <w:r>
        <w:rPr>
          <w:rFonts w:cs="Calibri" w:ascii="Calibri" w:hAnsi="Calibri"/>
          <w:b w:val="false"/>
          <w:sz w:val="22"/>
          <w:szCs w:val="22"/>
        </w:rPr>
        <w:t xml:space="preserve">: The choices for this field are: 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A=Always print this detail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N=Never print this detail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 xml:space="preserve">S=Standard print logic.  </w:t>
      </w:r>
      <w:r>
        <w:rPr>
          <w:rFonts w:cs="Calibri" w:ascii="Calibri" w:hAnsi="Calibri"/>
          <w:sz w:val="22"/>
          <w:szCs w:val="22"/>
        </w:rPr>
        <w:t>S is a standard setting.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Env Charge Amount: </w:t>
      </w:r>
      <w:r>
        <w:rPr>
          <w:rFonts w:cs="Calibri" w:ascii="Calibri" w:hAnsi="Calibri"/>
          <w:b w:val="false"/>
          <w:sz w:val="22"/>
          <w:szCs w:val="22"/>
        </w:rPr>
        <w:t>This field holds a dollar amount for an environmental charge associated with this Op Code.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Percent Split: </w:t>
      </w:r>
      <w:r>
        <w:rPr>
          <w:rFonts w:cs="Calibri" w:ascii="Calibri" w:hAnsi="Calibri"/>
          <w:b w:val="false"/>
          <w:sz w:val="22"/>
          <w:szCs w:val="22"/>
        </w:rPr>
        <w:t>This field may show a percentage which splits the revenue generated from this labor operation to two different revenue or sales accounts in the General Ledger.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Special Rev Account: </w:t>
      </w:r>
      <w:r>
        <w:rPr>
          <w:rFonts w:cs="Calibri" w:ascii="Calibri" w:hAnsi="Calibri"/>
          <w:b w:val="false"/>
          <w:sz w:val="22"/>
          <w:szCs w:val="22"/>
        </w:rPr>
        <w:t xml:space="preserve">This field may hold the General Ledger account to receive charges from this op code. 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>If the percentage split field is used</w:t>
      </w:r>
      <w:r>
        <w:rPr>
          <w:rFonts w:cs="Calibri" w:ascii="Calibri" w:hAnsi="Calibri"/>
          <w:b w:val="false"/>
          <w:sz w:val="22"/>
          <w:szCs w:val="22"/>
        </w:rPr>
        <w:t>, this field is used as one of the two numbers to receive percentage charges.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Print Ext $ Only: </w:t>
      </w:r>
      <w:r>
        <w:rPr>
          <w:rFonts w:cs="Calibri" w:ascii="Calibri" w:hAnsi="Calibri"/>
          <w:b w:val="false"/>
          <w:sz w:val="22"/>
          <w:szCs w:val="22"/>
        </w:rPr>
        <w:t xml:space="preserve">This setting offers the option to show full extension of the labor detail when displayed or printed. 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jc w:val="left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 xml:space="preserve">N” means the time applied to this condition will be shown with the number of hours and the labor rate plus the extended price for labor.  </w:t>
      </w:r>
    </w:p>
    <w:p>
      <w:pPr>
        <w:pStyle w:val="Heading3"/>
        <w:keepNext w:val="false"/>
        <w:numPr>
          <w:ilvl w:val="1"/>
          <w:numId w:val="3"/>
        </w:numPr>
        <w:spacing w:before="120" w:after="0"/>
        <w:jc w:val="left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b w:val="false"/>
          <w:sz w:val="22"/>
          <w:szCs w:val="22"/>
        </w:rPr>
        <w:t>“</w:t>
      </w:r>
      <w:r>
        <w:rPr>
          <w:rFonts w:cs="Calibri" w:ascii="Calibri" w:hAnsi="Calibri"/>
          <w:b w:val="false"/>
          <w:sz w:val="22"/>
          <w:szCs w:val="22"/>
        </w:rPr>
        <w:t>Y” in this field shows only the extended price for labor, and does not show or print the number of hours or labor rate.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Expanded Desc Ref: </w:t>
      </w:r>
      <w:r>
        <w:rPr>
          <w:rFonts w:cs="Calibri" w:ascii="Calibri" w:hAnsi="Calibri"/>
          <w:b w:val="false"/>
          <w:sz w:val="22"/>
          <w:szCs w:val="22"/>
        </w:rPr>
        <w:t>This field may show a reference to a field in another file that contains an expanded description.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Special Labor Rate: </w:t>
      </w:r>
      <w:r>
        <w:rPr>
          <w:rFonts w:cs="Calibri" w:ascii="Calibri" w:hAnsi="Calibri"/>
          <w:b w:val="false"/>
          <w:sz w:val="22"/>
          <w:szCs w:val="22"/>
        </w:rPr>
        <w:t xml:space="preserve">This field may hold a different or special labor rate applied to this op code. 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Effective Date: </w:t>
      </w:r>
      <w:r>
        <w:rPr>
          <w:rFonts w:cs="Calibri" w:ascii="Calibri" w:hAnsi="Calibri"/>
          <w:b w:val="false"/>
          <w:sz w:val="22"/>
          <w:szCs w:val="22"/>
        </w:rPr>
        <w:t>This informational field shows the date the labor charge definition was created.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Entry Date: </w:t>
      </w:r>
      <w:r>
        <w:rPr>
          <w:rFonts w:cs="Calibri" w:ascii="Calibri" w:hAnsi="Calibri"/>
          <w:b w:val="false"/>
          <w:sz w:val="22"/>
          <w:szCs w:val="22"/>
        </w:rPr>
        <w:t>This field shows the date the labor charge definition was added to the system.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Update Date: </w:t>
      </w:r>
      <w:r>
        <w:rPr>
          <w:rFonts w:cs="Calibri" w:ascii="Calibri" w:hAnsi="Calibri"/>
          <w:b w:val="false"/>
          <w:sz w:val="22"/>
          <w:szCs w:val="22"/>
        </w:rPr>
        <w:t>This is an inactive field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Release Number: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p>
      <w:pPr>
        <w:pStyle w:val="Heading3"/>
        <w:keepNext w:val="false"/>
        <w:numPr>
          <w:ilvl w:val="0"/>
          <w:numId w:val="3"/>
        </w:numPr>
        <w:spacing w:before="120" w:after="0"/>
        <w:rPr>
          <w:rFonts w:ascii="Calibri" w:hAnsi="Calibri" w:cs="Calibri"/>
          <w:b w:val="false"/>
          <w:sz w:val="22"/>
          <w:szCs w:val="22"/>
        </w:rPr>
      </w:pPr>
      <w:r>
        <w:rPr>
          <w:rFonts w:cs="Calibri" w:ascii="Calibri" w:hAnsi="Calibri"/>
          <w:sz w:val="22"/>
          <w:szCs w:val="22"/>
        </w:rPr>
        <w:t xml:space="preserve">Version Number: </w:t>
      </w:r>
      <w:r>
        <w:rPr>
          <w:rFonts w:cs="Calibri" w:ascii="Calibri" w:hAnsi="Calibri"/>
          <w:b w:val="false"/>
          <w:sz w:val="22"/>
          <w:szCs w:val="22"/>
        </w:rPr>
        <w:t>This field is reserved for future use.</w:t>
      </w:r>
    </w:p>
    <w:sectPr>
      <w:headerReference w:type="default" r:id="rId3"/>
      <w:footerReference w:type="default" r:id="rId4"/>
      <w:type w:val="nextPage"/>
      <w:pgSz w:w="12240" w:h="15840"/>
      <w:pgMar w:left="1800" w:right="1800" w:gutter="0" w:header="720" w:top="1440" w:footer="720" w:bottom="1440"/>
      <w:pgNumType w:fmt="decimal"/>
      <w:formProt w:val="false"/>
      <w:textDirection w:val="lrTb"/>
      <w:docGrid w:type="default" w:linePitch="2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Verdana">
    <w:charset w:val="00"/>
    <w:family w:val="swiss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variable"/>
  </w:font>
  <w:font w:name="Courier New">
    <w:charset w:val="00"/>
    <w:family w:val="modern"/>
    <w:pitch w:val="fixed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1"/>
      <w:rPr>
        <w:rStyle w:val="PageNumber"/>
        <w:rFonts w:eastAsia="Arial Unicode MS"/>
        <w:i/>
        <w:i/>
      </w:rPr>
    </w:pPr>
    <w:r>
      <w:rPr/>
      <w:t xml:space="preserve">NVRWA050-RWDBF </w:t>
    </w:r>
    <w:r>
      <w:rPr/>
      <w:fldChar w:fldCharType="begin"/>
    </w:r>
    <w:r>
      <w:rPr/>
      <w:instrText xml:space="preserve"> DATE \@"M\/d\/yyyy" </w:instrText>
    </w:r>
    <w:r>
      <w:rPr/>
      <w:fldChar w:fldCharType="separate"/>
    </w:r>
    <w:r>
      <w:rPr/>
      <w:t>1/17/2026</w:t>
    </w:r>
    <w:r>
      <w:rPr/>
      <w:fldChar w:fldCharType="end"/>
    </w:r>
    <w:r>
      <w:rPr/>
      <w:tab/>
    </w:r>
    <w:r>
      <w:rPr>
        <w:b/>
        <w:i w:val="false"/>
        <w:sz w:val="24"/>
      </w:rPr>
      <w:t>A050:</w:t>
    </w:r>
    <w:r>
      <w:rPr>
        <w:rStyle w:val="PageNumber"/>
        <w:i/>
        <w:sz w:val="24"/>
      </w:rPr>
      <w:fldChar w:fldCharType="begin"/>
    </w:r>
    <w:r>
      <w:rPr>
        <w:rStyle w:val="PageNumber"/>
        <w:sz w:val="24"/>
        <w:i/>
      </w:rPr>
      <w:instrText xml:space="preserve"> PAGE </w:instrText>
    </w:r>
    <w:r>
      <w:rPr>
        <w:rStyle w:val="PageNumber"/>
        <w:sz w:val="24"/>
        <w:i/>
      </w:rPr>
      <w:fldChar w:fldCharType="separate"/>
    </w:r>
    <w:r>
      <w:rPr>
        <w:rStyle w:val="PageNumber"/>
        <w:sz w:val="24"/>
        <w:i/>
      </w:rPr>
      <w:t>2</w:t>
    </w:r>
    <w:r>
      <w:rPr>
        <w:rStyle w:val="PageNumber"/>
        <w:sz w:val="24"/>
        <w:i/>
      </w:rPr>
      <w:fldChar w:fldCharType="end"/>
    </w:r>
  </w:p>
  <w:p>
    <w:pPr>
      <w:pStyle w:val="Footer"/>
      <w:rPr/>
    </w:pPr>
    <w:r>
      <w:rPr>
        <w:rStyle w:val="PageNumber"/>
      </w:rPr>
      <w:t>HBS Systems</w:t>
      <w:tab/>
      <w:tab/>
    </w:r>
    <w:r>
      <w:rPr>
        <w:rStyle w:val="PageNumber"/>
        <w:b w:val="false"/>
        <w:i/>
      </w:rPr>
      <w:t>RWDBF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Style w:val="PageNumber"/>
        <w:b w:val="false"/>
        <w:bCs/>
      </w:rPr>
      <w:t>Appendix A – Database Files</w:t>
    </w:r>
    <w:r>
      <w:rPr>
        <w:rStyle w:val="PageNumber"/>
        <w:b/>
        <w:bCs/>
      </w:rPr>
      <w:tab/>
      <w:t>Report Writer</w:t>
    </w:r>
  </w:p>
  <w:p>
    <w:pPr>
      <w:pStyle w:val="Header"/>
      <w:rPr/>
    </w:pPr>
    <w:r>
      <w:rPr>
        <w:rStyle w:val="PageNumber"/>
        <w:b/>
        <w:bCs/>
      </w:rPr>
      <w:t>Netview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pStyle w:val="Heading5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NOTE:  "/>
      <w:lvlJc w:val="left"/>
      <w:pPr>
        <w:tabs>
          <w:tab w:val="num" w:pos="1080"/>
        </w:tabs>
        <w:ind w:left="360" w:hanging="36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0"/>
        <w:sz w:val="20"/>
        <w:i w:val="false"/>
        <w:shadow w:val="false"/>
        <w:b/>
        <w:vanish w:val="false"/>
        <w:rFonts w:ascii="Verdana" w:hAnsi="Verdana" w:cs="Verdana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jc w:val="both"/>
    </w:pPr>
    <w:rPr>
      <w:rFonts w:ascii="Verdana" w:hAnsi="Verdana" w:eastAsia="Times New Roman" w:cs="Verdana"/>
      <w:color w:val="auto"/>
      <w:sz w:val="20"/>
      <w:szCs w:val="24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both"/>
      <w:outlineLvl w:val="0"/>
    </w:pPr>
    <w:rPr>
      <w:rFonts w:ascii="Verdana" w:hAnsi="Verdana" w:cs="Verdana"/>
      <w:b/>
      <w:sz w:val="28"/>
    </w:rPr>
  </w:style>
  <w:style w:type="paragraph" w:styleId="Heading2">
    <w:name w:val="heading 2"/>
    <w:basedOn w:val="Normal"/>
    <w:next w:val="Body"/>
    <w:qFormat/>
    <w:pPr>
      <w:keepNext w:val="true"/>
      <w:numPr>
        <w:ilvl w:val="1"/>
        <w:numId w:val="1"/>
      </w:numPr>
      <w:spacing w:before="240" w:after="60"/>
      <w:jc w:val="both"/>
      <w:outlineLvl w:val="1"/>
    </w:pPr>
    <w:rPr>
      <w:rFonts w:ascii="Verdana" w:hAnsi="Verdana" w:cs="Verdana"/>
      <w:b/>
    </w:rPr>
  </w:style>
  <w:style w:type="paragraph" w:styleId="Heading3">
    <w:name w:val="heading 3"/>
    <w:basedOn w:val="Normal"/>
    <w:next w:val="BodyText"/>
    <w:qFormat/>
    <w:pPr>
      <w:keepNext w:val="true"/>
      <w:numPr>
        <w:ilvl w:val="2"/>
        <w:numId w:val="1"/>
      </w:numPr>
      <w:spacing w:before="240" w:after="0"/>
      <w:jc w:val="both"/>
      <w:outlineLvl w:val="2"/>
    </w:pPr>
    <w:rPr>
      <w:rFonts w:ascii="Verdana" w:hAnsi="Verdana" w:cs="Verdana"/>
      <w:b/>
      <w:sz w:val="20"/>
    </w:rPr>
  </w:style>
  <w:style w:type="paragraph" w:styleId="Heading4">
    <w:name w:val="heading 4"/>
    <w:basedOn w:val="Normal"/>
    <w:next w:val="Normal"/>
    <w:qFormat/>
    <w:pPr>
      <w:keepNext w:val="true"/>
      <w:numPr>
        <w:ilvl w:val="3"/>
        <w:numId w:val="1"/>
      </w:numPr>
      <w:spacing w:before="240" w:after="0"/>
      <w:ind w:hanging="0" w:left="331" w:right="0"/>
      <w:jc w:val="both"/>
      <w:outlineLvl w:val="3"/>
    </w:pPr>
    <w:rPr>
      <w:rFonts w:ascii="Verdana" w:hAnsi="Verdana" w:cs="Verdana"/>
      <w:b/>
      <w:bCs/>
      <w:sz w:val="20"/>
      <w:szCs w:val="28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0"/>
      <w:ind w:hanging="0" w:left="691" w:right="0"/>
      <w:jc w:val="both"/>
      <w:outlineLvl w:val="4"/>
    </w:pPr>
    <w:rPr>
      <w:rFonts w:ascii="Verdana" w:hAnsi="Verdana" w:cs="Verdana"/>
      <w:b/>
      <w:bCs/>
      <w:iCs/>
      <w:sz w:val="20"/>
      <w:szCs w:val="26"/>
    </w:rPr>
  </w:style>
  <w:style w:type="character" w:styleId="WW8Num1z0">
    <w:name w:val="WW8Num1z0"/>
    <w:qFormat/>
    <w:rPr>
      <w:rFonts w:ascii="Verdana" w:hAnsi="Verdana" w:cs="Verdana"/>
      <w:b/>
      <w:i w:val="false"/>
      <w:caps w:val="false"/>
      <w:smallCaps w:val="false"/>
      <w:strike w:val="false"/>
      <w:dstrike w:val="false"/>
      <w:outline w:val="false"/>
      <w:shadow w:val="false"/>
      <w:vanish w:val="false"/>
      <w:position w:val="0"/>
      <w:sz w:val="20"/>
      <w:sz w:val="20"/>
      <w:vertAlign w:val="baseline"/>
    </w:rPr>
  </w:style>
  <w:style w:type="character" w:styleId="WW8Num2z0">
    <w:name w:val="WW8Num2z0"/>
    <w:qFormat/>
    <w:rPr>
      <w:rFonts w:ascii="Symbol" w:hAnsi="Symbol" w:cs="Symbol"/>
    </w:rPr>
  </w:style>
  <w:style w:type="character" w:styleId="WW8Num2z1">
    <w:name w:val="WW8Num2z1"/>
    <w:qFormat/>
    <w:rPr>
      <w:rFonts w:ascii="Courier New" w:hAnsi="Courier New" w:cs="Courier New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PageNumber">
    <w:name w:val="page number"/>
    <w:rPr>
      <w:rFonts w:ascii="Verdana" w:hAnsi="Verdana" w:cs="Verdana"/>
      <w:b/>
      <w:strike w:val="false"/>
      <w:dstrike w:val="false"/>
      <w:position w:val="0"/>
      <w:sz w:val="20"/>
      <w:sz w:val="20"/>
      <w:vertAlign w:val="baselin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next w:val="Body"/>
    <w:pPr>
      <w:jc w:val="both"/>
    </w:pPr>
    <w:rPr>
      <w:rFonts w:ascii="Verdana" w:hAnsi="Verdana" w:cs="Verdana"/>
      <w:sz w:val="20"/>
    </w:rPr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Body">
    <w:name w:val="Body"/>
    <w:basedOn w:val="Normal"/>
    <w:qFormat/>
    <w:pPr>
      <w:spacing w:before="240" w:after="0"/>
      <w:jc w:val="both"/>
    </w:pPr>
    <w:rPr>
      <w:rFonts w:ascii="Verdana" w:hAnsi="Verdana" w:cs="Verdana"/>
      <w:sz w:val="20"/>
    </w:rPr>
  </w:style>
  <w:style w:type="paragraph" w:styleId="Command">
    <w:name w:val="Command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b/>
      <w:sz w:val="20"/>
    </w:rPr>
  </w:style>
  <w:style w:type="paragraph" w:styleId="Continued">
    <w:name w:val="Continued"/>
    <w:basedOn w:val="Heading2"/>
    <w:qFormat/>
    <w:pPr>
      <w:numPr>
        <w:ilvl w:val="0"/>
        <w:numId w:val="0"/>
      </w:numPr>
      <w:spacing w:before="0" w:after="60"/>
      <w:jc w:val="both"/>
      <w:outlineLvl w:val="9"/>
    </w:pPr>
    <w:rPr>
      <w:rFonts w:ascii="Verdana" w:hAnsi="Verdana" w:cs="Times New Roman"/>
      <w:bCs/>
      <w:i/>
      <w:iCs/>
      <w:sz w:val="24"/>
      <w:szCs w:val="24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  <w:jc w:val="both"/>
    </w:pPr>
    <w:rPr>
      <w:rFonts w:ascii="Verdana" w:hAnsi="Verdana" w:cs="Verdana"/>
      <w:sz w:val="20"/>
    </w:rPr>
  </w:style>
  <w:style w:type="paragraph" w:styleId="Footer1">
    <w:name w:val="Footer 1"/>
    <w:basedOn w:val="Footer"/>
    <w:qFormat/>
    <w:pPr>
      <w:tabs>
        <w:tab w:val="clear" w:pos="4320"/>
        <w:tab w:val="right" w:pos="8640" w:leader="none"/>
      </w:tabs>
    </w:pPr>
    <w:rPr>
      <w:i/>
      <w:sz w:val="16"/>
    </w:rPr>
  </w:style>
  <w:style w:type="paragraph" w:styleId="Header">
    <w:name w:val="header"/>
    <w:basedOn w:val="Normal"/>
    <w:pPr>
      <w:tabs>
        <w:tab w:val="clear" w:pos="720"/>
        <w:tab w:val="right" w:pos="8640" w:leader="none"/>
      </w:tabs>
      <w:jc w:val="both"/>
    </w:pPr>
    <w:rPr>
      <w:rFonts w:ascii="Verdana" w:hAnsi="Verdana" w:cs="Verdana"/>
      <w:b/>
      <w:i/>
      <w:sz w:val="20"/>
    </w:rPr>
  </w:style>
  <w:style w:type="paragraph" w:styleId="Indent">
    <w:name w:val="Indent"/>
    <w:basedOn w:val="Normal"/>
    <w:qFormat/>
    <w:pPr>
      <w:spacing w:before="240" w:after="0"/>
      <w:ind w:hanging="0" w:left="331" w:right="0"/>
      <w:jc w:val="both"/>
    </w:pPr>
    <w:rPr>
      <w:rFonts w:ascii="Verdana" w:hAnsi="Verdana" w:cs="Verdana"/>
      <w:sz w:val="20"/>
    </w:rPr>
  </w:style>
  <w:style w:type="paragraph" w:styleId="IndentText">
    <w:name w:val="Indent Text"/>
    <w:basedOn w:val="Indent"/>
    <w:qFormat/>
    <w:pPr>
      <w:spacing w:before="0" w:after="0"/>
    </w:pPr>
    <w:rPr/>
  </w:style>
  <w:style w:type="paragraph" w:styleId="Indent2">
    <w:name w:val="Indent2"/>
    <w:basedOn w:val="Indent"/>
    <w:qFormat/>
    <w:pPr>
      <w:ind w:hanging="0" w:left="696" w:right="0"/>
    </w:pPr>
    <w:rPr/>
  </w:style>
  <w:style w:type="paragraph" w:styleId="Indent2Text">
    <w:name w:val="Indent2 Text"/>
    <w:basedOn w:val="Indent2"/>
    <w:qFormat/>
    <w:pPr>
      <w:spacing w:before="0" w:after="0"/>
      <w:ind w:hanging="0" w:left="691" w:right="0"/>
    </w:pPr>
    <w:rPr/>
  </w:style>
  <w:style w:type="paragraph" w:styleId="Note">
    <w:name w:val="Note"/>
    <w:basedOn w:val="Normal"/>
    <w:next w:val="Body"/>
    <w:qFormat/>
    <w:pPr>
      <w:numPr>
        <w:ilvl w:val="0"/>
        <w:numId w:val="2"/>
      </w:numPr>
      <w:tabs>
        <w:tab w:val="clear" w:pos="720"/>
        <w:tab w:val="left" w:pos="888" w:leader="none"/>
      </w:tabs>
      <w:spacing w:before="240" w:after="0"/>
      <w:ind w:hanging="0" w:left="0" w:right="0"/>
    </w:pPr>
    <w:rPr/>
  </w:style>
  <w:style w:type="paragraph" w:styleId="Note2">
    <w:name w:val="Note2"/>
    <w:basedOn w:val="Note"/>
    <w:next w:val="Body"/>
    <w:qFormat/>
    <w:pPr>
      <w:numPr>
        <w:ilvl w:val="0"/>
        <w:numId w:val="0"/>
      </w:numPr>
      <w:tabs>
        <w:tab w:val="left" w:pos="888" w:leader="none"/>
        <w:tab w:val="left" w:pos="1248" w:leader="none"/>
      </w:tabs>
      <w:ind w:hanging="0" w:left="360" w:right="0"/>
    </w:pPr>
    <w:rPr/>
  </w:style>
  <w:style w:type="paragraph" w:styleId="Screen">
    <w:name w:val="Screen"/>
    <w:basedOn w:val="Normal"/>
    <w:qFormat/>
    <w:pPr>
      <w:jc w:val="left"/>
    </w:pPr>
    <w:rPr>
      <w:rFonts w:ascii="Courier New" w:hAnsi="Courier New" w:cs="Courier New"/>
      <w:b/>
      <w:sz w:val="18"/>
    </w:rPr>
  </w:style>
  <w:style w:type="paragraph" w:styleId="TOC1">
    <w:name w:val="toc 1"/>
    <w:basedOn w:val="Normal"/>
    <w:pPr>
      <w:tabs>
        <w:tab w:val="clear" w:pos="720"/>
        <w:tab w:val="right" w:pos="8640" w:leader="dot"/>
      </w:tabs>
      <w:spacing w:before="180" w:after="120"/>
    </w:pPr>
    <w:rPr>
      <w:b/>
    </w:rPr>
  </w:style>
  <w:style w:type="paragraph" w:styleId="TOC2">
    <w:name w:val="toc 2"/>
    <w:basedOn w:val="Normal"/>
    <w:pPr>
      <w:tabs>
        <w:tab w:val="clear" w:pos="720"/>
        <w:tab w:val="right" w:pos="8640" w:leader="dot"/>
      </w:tabs>
      <w:ind w:hanging="0" w:left="200" w:right="0"/>
    </w:pPr>
    <w:rPr/>
  </w:style>
  <w:style w:type="paragraph" w:styleId="TOCBase">
    <w:name w:val="TOC Base"/>
    <w:basedOn w:val="Heading2"/>
    <w:next w:val="TOC1"/>
    <w:qFormat/>
    <w:pPr>
      <w:numPr>
        <w:ilvl w:val="0"/>
        <w:numId w:val="0"/>
      </w:numPr>
      <w:tabs>
        <w:tab w:val="clear" w:pos="720"/>
        <w:tab w:val="right" w:pos="8640" w:leader="none"/>
      </w:tabs>
      <w:spacing w:before="0" w:after="0"/>
      <w:outlineLvl w:val="9"/>
    </w:pPr>
    <w:rPr>
      <w:sz w:val="24"/>
      <w:u w:val="single"/>
    </w:rPr>
  </w:style>
  <w:style w:type="paragraph" w:styleId="TOC3">
    <w:name w:val="TOC3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2015-10-20T17:10:00Z</dcterms:created>
  <dc:creator>sdavis</dc:creator>
  <dc:description/>
  <cp:keywords/>
  <dc:language>en-US</dc:language>
  <cp:lastModifiedBy>Shelby Lund</cp:lastModifiedBy>
  <cp:lastPrinted>2008-10-22T13:49:00Z</cp:lastPrinted>
  <dcterms:modified xsi:type="dcterms:W3CDTF">2015-10-20T19:10:00Z</dcterms:modified>
  <cp:revision>3</cp:revision>
  <dc:subject/>
  <dc:title>Service Standard Labor Charges File</dc:title>
</cp:coreProperties>
</file>