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778" w:rsidRPr="00A32BB8" w:rsidRDefault="004E6778" w:rsidP="004E6778">
      <w:pPr>
        <w:spacing w:after="0" w:line="240" w:lineRule="auto"/>
        <w:contextualSpacing/>
        <w:rPr>
          <w:rFonts w:cstheme="minorHAnsi"/>
        </w:rPr>
      </w:pPr>
      <w:r>
        <w:rPr>
          <w:rFonts w:cstheme="minorHAnsi"/>
          <w:b/>
          <w:sz w:val="24"/>
          <w:u w:val="single"/>
        </w:rPr>
        <w:t>HBS Open Buybacks:</w:t>
      </w:r>
      <w:r>
        <w:rPr>
          <w:rFonts w:cstheme="minorHAnsi"/>
          <w:sz w:val="24"/>
        </w:rPr>
        <w:t xml:space="preserve"> </w:t>
      </w:r>
      <w:r w:rsidR="00A32BB8" w:rsidRPr="004E6778">
        <w:rPr>
          <w:rFonts w:cstheme="minorHAnsi"/>
        </w:rPr>
        <w:t xml:space="preserve">HBS Open Buybacks allows users to view and manage their open CNH buybacks from the </w:t>
      </w:r>
      <w:proofErr w:type="spellStart"/>
      <w:r w:rsidR="00A32BB8" w:rsidRPr="004E6778">
        <w:rPr>
          <w:rFonts w:cstheme="minorHAnsi"/>
        </w:rPr>
        <w:t>NetView</w:t>
      </w:r>
      <w:proofErr w:type="spellEnd"/>
      <w:r w:rsidR="00A32BB8" w:rsidRPr="004E6778">
        <w:rPr>
          <w:rFonts w:cstheme="minorHAnsi"/>
        </w:rPr>
        <w:t xml:space="preserve"> Desktop ordering programs, as well as verify and ultimately submit them to CNH for processing.</w:t>
      </w:r>
    </w:p>
    <w:p w:rsidR="004E6778" w:rsidRDefault="004E6778" w:rsidP="004E6778">
      <w:pPr>
        <w:spacing w:after="0" w:line="240" w:lineRule="auto"/>
        <w:ind w:left="-720"/>
        <w:contextualSpacing/>
        <w:rPr>
          <w:rFonts w:cstheme="minorHAnsi"/>
        </w:rPr>
      </w:pPr>
    </w:p>
    <w:p w:rsidR="003E2E62" w:rsidRPr="004E6778" w:rsidRDefault="00726BDB" w:rsidP="00A32BB8">
      <w:pPr>
        <w:spacing w:after="0" w:line="240" w:lineRule="auto"/>
        <w:ind w:left="-720"/>
        <w:contextualSpacing/>
        <w:jc w:val="center"/>
        <w:rPr>
          <w:rFonts w:cstheme="minorHAnsi"/>
        </w:rPr>
      </w:pPr>
      <w:r w:rsidRPr="004E6778">
        <w:rPr>
          <w:rFonts w:cstheme="minorHAnsi"/>
          <w:noProof/>
        </w:rPr>
        <w:drawing>
          <wp:inline distT="0" distB="0" distL="0" distR="0">
            <wp:extent cx="7029935" cy="1857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H Open Buyback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37591" cy="1859398"/>
                    </a:xfrm>
                    <a:prstGeom prst="rect">
                      <a:avLst/>
                    </a:prstGeom>
                  </pic:spPr>
                </pic:pic>
              </a:graphicData>
            </a:graphic>
          </wp:inline>
        </w:drawing>
      </w:r>
    </w:p>
    <w:p w:rsidR="00A32BB8" w:rsidRDefault="00A32BB8" w:rsidP="004E6778">
      <w:pPr>
        <w:spacing w:after="0" w:line="240" w:lineRule="auto"/>
        <w:contextualSpacing/>
        <w:rPr>
          <w:rFonts w:cstheme="minorHAnsi"/>
        </w:rPr>
      </w:pPr>
    </w:p>
    <w:p w:rsidR="00726BDB" w:rsidRPr="004E6778" w:rsidRDefault="00726BDB" w:rsidP="004E6778">
      <w:pPr>
        <w:spacing w:after="0" w:line="240" w:lineRule="auto"/>
        <w:contextualSpacing/>
        <w:rPr>
          <w:rFonts w:cstheme="minorHAnsi"/>
        </w:rPr>
      </w:pPr>
      <w:r w:rsidRPr="004E6778">
        <w:rPr>
          <w:rFonts w:cstheme="minorHAnsi"/>
        </w:rPr>
        <w:t xml:space="preserve">You can sort the list of open buybacks using the column headers, or filter the list by entering specific information in the </w:t>
      </w:r>
      <w:r w:rsidRPr="004E6778">
        <w:rPr>
          <w:rFonts w:cstheme="minorHAnsi"/>
          <w:b/>
        </w:rPr>
        <w:t>Filter Results</w:t>
      </w:r>
      <w:r w:rsidRPr="004E6778">
        <w:rPr>
          <w:rFonts w:cstheme="minorHAnsi"/>
        </w:rPr>
        <w:t xml:space="preserve"> field.</w:t>
      </w:r>
    </w:p>
    <w:p w:rsidR="00A32BB8" w:rsidRDefault="00A32BB8" w:rsidP="004E6778">
      <w:pPr>
        <w:spacing w:after="0" w:line="240" w:lineRule="auto"/>
        <w:contextualSpacing/>
        <w:rPr>
          <w:rFonts w:cstheme="minorHAnsi"/>
          <w:b/>
        </w:rPr>
      </w:pPr>
    </w:p>
    <w:p w:rsidR="00726BDB" w:rsidRPr="00A32BB8" w:rsidRDefault="00726BDB" w:rsidP="004E6778">
      <w:pPr>
        <w:spacing w:after="0" w:line="240" w:lineRule="auto"/>
        <w:contextualSpacing/>
        <w:rPr>
          <w:rFonts w:cstheme="minorHAnsi"/>
          <w:b/>
          <w:u w:val="single"/>
        </w:rPr>
      </w:pPr>
      <w:r w:rsidRPr="00A32BB8">
        <w:rPr>
          <w:rFonts w:cstheme="minorHAnsi"/>
          <w:b/>
          <w:u w:val="single"/>
        </w:rPr>
        <w:t>Column Headers</w:t>
      </w:r>
      <w:r w:rsidR="00A32BB8">
        <w:rPr>
          <w:rFonts w:cstheme="minorHAnsi"/>
          <w:b/>
          <w:u w:val="single"/>
        </w:rPr>
        <w:t>:</w:t>
      </w:r>
    </w:p>
    <w:p w:rsidR="00A32BB8" w:rsidRDefault="00A32BB8" w:rsidP="004E6778">
      <w:pPr>
        <w:spacing w:after="0" w:line="240" w:lineRule="auto"/>
        <w:contextualSpacing/>
        <w:rPr>
          <w:rFonts w:cstheme="minorHAnsi"/>
          <w:b/>
        </w:rPr>
      </w:pPr>
    </w:p>
    <w:p w:rsidR="00726BDB" w:rsidRPr="004E6778" w:rsidRDefault="00726BDB" w:rsidP="004E6778">
      <w:pPr>
        <w:spacing w:after="0" w:line="240" w:lineRule="auto"/>
        <w:contextualSpacing/>
        <w:rPr>
          <w:rFonts w:cstheme="minorHAnsi"/>
        </w:rPr>
      </w:pPr>
      <w:r w:rsidRPr="00A32BB8">
        <w:rPr>
          <w:rFonts w:cstheme="minorHAnsi"/>
          <w:u w:val="single"/>
        </w:rPr>
        <w:t>Buyback Number</w:t>
      </w:r>
      <w:r w:rsidR="00A32BB8">
        <w:rPr>
          <w:rFonts w:cstheme="minorHAnsi"/>
          <w:u w:val="single"/>
        </w:rPr>
        <w:t>:</w:t>
      </w:r>
      <w:r w:rsidR="00A32BB8">
        <w:rPr>
          <w:rFonts w:cstheme="minorHAnsi"/>
        </w:rPr>
        <w:t xml:space="preserve"> </w:t>
      </w:r>
      <w:r w:rsidRPr="004E6778">
        <w:rPr>
          <w:rFonts w:cstheme="minorHAnsi"/>
        </w:rPr>
        <w:t xml:space="preserve">This column shows the </w:t>
      </w:r>
      <w:r w:rsidR="000431A6" w:rsidRPr="004E6778">
        <w:rPr>
          <w:rFonts w:cstheme="minorHAnsi"/>
        </w:rPr>
        <w:t xml:space="preserve">dealer-assigned </w:t>
      </w:r>
      <w:r w:rsidRPr="004E6778">
        <w:rPr>
          <w:rFonts w:cstheme="minorHAnsi"/>
        </w:rPr>
        <w:t>buyback number.</w:t>
      </w:r>
    </w:p>
    <w:p w:rsidR="00A32BB8" w:rsidRDefault="00A32BB8" w:rsidP="004E6778">
      <w:pPr>
        <w:spacing w:after="0" w:line="240" w:lineRule="auto"/>
        <w:contextualSpacing/>
        <w:rPr>
          <w:rFonts w:cstheme="minorHAnsi"/>
          <w:b/>
        </w:rPr>
      </w:pPr>
    </w:p>
    <w:p w:rsidR="00726BDB" w:rsidRPr="004E6778" w:rsidRDefault="00726BDB" w:rsidP="004E6778">
      <w:pPr>
        <w:spacing w:after="0" w:line="240" w:lineRule="auto"/>
        <w:contextualSpacing/>
        <w:rPr>
          <w:rFonts w:cstheme="minorHAnsi"/>
        </w:rPr>
      </w:pPr>
      <w:r w:rsidRPr="00A32BB8">
        <w:rPr>
          <w:rFonts w:cstheme="minorHAnsi"/>
          <w:u w:val="single"/>
        </w:rPr>
        <w:t>Buyback Lines</w:t>
      </w:r>
      <w:r w:rsidR="00A32BB8">
        <w:rPr>
          <w:rFonts w:cstheme="minorHAnsi"/>
          <w:u w:val="single"/>
        </w:rPr>
        <w:t>:</w:t>
      </w:r>
      <w:r w:rsidR="00A32BB8">
        <w:rPr>
          <w:rFonts w:cstheme="minorHAnsi"/>
        </w:rPr>
        <w:t xml:space="preserve"> </w:t>
      </w:r>
      <w:r w:rsidRPr="004E6778">
        <w:rPr>
          <w:rFonts w:cstheme="minorHAnsi"/>
        </w:rPr>
        <w:t>This column shows how many lines are on the buyback.</w:t>
      </w:r>
    </w:p>
    <w:p w:rsidR="00A32BB8" w:rsidRDefault="00A32BB8" w:rsidP="004E6778">
      <w:pPr>
        <w:spacing w:after="0" w:line="240" w:lineRule="auto"/>
        <w:contextualSpacing/>
        <w:rPr>
          <w:rFonts w:cstheme="minorHAnsi"/>
          <w:b/>
        </w:rPr>
      </w:pPr>
    </w:p>
    <w:p w:rsidR="00726BDB" w:rsidRPr="004E6778" w:rsidRDefault="00726BDB" w:rsidP="004E6778">
      <w:pPr>
        <w:spacing w:after="0" w:line="240" w:lineRule="auto"/>
        <w:contextualSpacing/>
        <w:rPr>
          <w:rFonts w:cstheme="minorHAnsi"/>
        </w:rPr>
      </w:pPr>
      <w:r w:rsidRPr="00A32BB8">
        <w:rPr>
          <w:rFonts w:cstheme="minorHAnsi"/>
          <w:u w:val="single"/>
        </w:rPr>
        <w:t>Estimated Buyback Cost</w:t>
      </w:r>
      <w:r w:rsidR="00A32BB8">
        <w:rPr>
          <w:rFonts w:cstheme="minorHAnsi"/>
          <w:u w:val="single"/>
        </w:rPr>
        <w:t>:</w:t>
      </w:r>
      <w:r w:rsidR="00A32BB8">
        <w:rPr>
          <w:rFonts w:cstheme="minorHAnsi"/>
        </w:rPr>
        <w:t xml:space="preserve"> </w:t>
      </w:r>
      <w:r w:rsidRPr="004E6778">
        <w:rPr>
          <w:rFonts w:cstheme="minorHAnsi"/>
        </w:rPr>
        <w:t>This column shows the estimated cost of the buyback.</w:t>
      </w:r>
    </w:p>
    <w:p w:rsidR="00A32BB8" w:rsidRDefault="00A32BB8" w:rsidP="004E6778">
      <w:pPr>
        <w:spacing w:after="0" w:line="240" w:lineRule="auto"/>
        <w:contextualSpacing/>
        <w:rPr>
          <w:rFonts w:cstheme="minorHAnsi"/>
          <w:b/>
        </w:rPr>
      </w:pPr>
    </w:p>
    <w:p w:rsidR="00726BDB" w:rsidRPr="004E6778" w:rsidRDefault="00726BDB" w:rsidP="004E6778">
      <w:pPr>
        <w:spacing w:after="0" w:line="240" w:lineRule="auto"/>
        <w:contextualSpacing/>
        <w:rPr>
          <w:rFonts w:cstheme="minorHAnsi"/>
        </w:rPr>
      </w:pPr>
      <w:r w:rsidRPr="00A32BB8">
        <w:rPr>
          <w:rFonts w:cstheme="minorHAnsi"/>
          <w:u w:val="single"/>
        </w:rPr>
        <w:t>Buyback Date</w:t>
      </w:r>
      <w:r w:rsidR="00A32BB8">
        <w:rPr>
          <w:rFonts w:cstheme="minorHAnsi"/>
          <w:u w:val="single"/>
        </w:rPr>
        <w:t>:</w:t>
      </w:r>
      <w:r w:rsidR="00A32BB8">
        <w:rPr>
          <w:rFonts w:cstheme="minorHAnsi"/>
        </w:rPr>
        <w:t xml:space="preserve"> </w:t>
      </w:r>
      <w:r w:rsidRPr="004E6778">
        <w:rPr>
          <w:rFonts w:cstheme="minorHAnsi"/>
        </w:rPr>
        <w:t>This column shows the buyback’s creation date.</w:t>
      </w:r>
    </w:p>
    <w:p w:rsidR="00A32BB8" w:rsidRDefault="00A32BB8" w:rsidP="004E6778">
      <w:pPr>
        <w:spacing w:after="0" w:line="240" w:lineRule="auto"/>
        <w:contextualSpacing/>
        <w:rPr>
          <w:rFonts w:cstheme="minorHAnsi"/>
          <w:b/>
        </w:rPr>
      </w:pPr>
    </w:p>
    <w:p w:rsidR="001428C0" w:rsidRPr="004E6778" w:rsidRDefault="00726BDB" w:rsidP="004E6778">
      <w:pPr>
        <w:spacing w:after="0" w:line="240" w:lineRule="auto"/>
        <w:contextualSpacing/>
        <w:rPr>
          <w:rFonts w:cstheme="minorHAnsi"/>
        </w:rPr>
      </w:pPr>
      <w:r w:rsidRPr="00A32BB8">
        <w:rPr>
          <w:rFonts w:cstheme="minorHAnsi"/>
          <w:b/>
          <w:u w:val="single"/>
        </w:rPr>
        <w:t>Refresh</w:t>
      </w:r>
      <w:r w:rsidR="00A32BB8">
        <w:rPr>
          <w:rFonts w:cstheme="minorHAnsi"/>
          <w:b/>
          <w:u w:val="single"/>
        </w:rPr>
        <w:t>:</w:t>
      </w:r>
      <w:r w:rsidR="00A32BB8">
        <w:rPr>
          <w:rFonts w:cstheme="minorHAnsi"/>
        </w:rPr>
        <w:t xml:space="preserve"> </w:t>
      </w:r>
      <w:r w:rsidRPr="004E6778">
        <w:rPr>
          <w:rFonts w:cstheme="minorHAnsi"/>
        </w:rPr>
        <w:t>Click this button to update the open buyback list.  The list will change to reflect any new orders as well as any alterations to existing orders.</w:t>
      </w:r>
    </w:p>
    <w:p w:rsidR="001428C0" w:rsidRPr="004E6778" w:rsidRDefault="001428C0" w:rsidP="004E6778">
      <w:pPr>
        <w:spacing w:after="0" w:line="240" w:lineRule="auto"/>
        <w:contextualSpacing/>
        <w:rPr>
          <w:rFonts w:cstheme="minorHAnsi"/>
          <w:b/>
        </w:rPr>
      </w:pPr>
    </w:p>
    <w:p w:rsidR="00726BDB" w:rsidRDefault="00726BDB" w:rsidP="004E6778">
      <w:pPr>
        <w:spacing w:after="0" w:line="240" w:lineRule="auto"/>
        <w:contextualSpacing/>
        <w:rPr>
          <w:rFonts w:cstheme="minorHAnsi"/>
        </w:rPr>
      </w:pPr>
      <w:r w:rsidRPr="00A32BB8">
        <w:rPr>
          <w:rFonts w:cstheme="minorHAnsi"/>
          <w:b/>
          <w:u w:val="single"/>
        </w:rPr>
        <w:t>Verifying Buybacks</w:t>
      </w:r>
      <w:r w:rsidR="00A32BB8">
        <w:rPr>
          <w:rFonts w:cstheme="minorHAnsi"/>
          <w:b/>
          <w:u w:val="single"/>
        </w:rPr>
        <w:t>:</w:t>
      </w:r>
      <w:r w:rsidR="00A32BB8">
        <w:rPr>
          <w:rFonts w:cstheme="minorHAnsi"/>
        </w:rPr>
        <w:t xml:space="preserve"> </w:t>
      </w:r>
      <w:r w:rsidRPr="004E6778">
        <w:rPr>
          <w:rFonts w:cstheme="minorHAnsi"/>
        </w:rPr>
        <w:t>To view and verify a buyback, click on the buyback’s entry in the grid.  The following window will appear:</w:t>
      </w:r>
    </w:p>
    <w:p w:rsidR="00A32BB8" w:rsidRPr="004E6778" w:rsidRDefault="00A32BB8" w:rsidP="004E6778">
      <w:pPr>
        <w:spacing w:after="0" w:line="240" w:lineRule="auto"/>
        <w:contextualSpacing/>
        <w:rPr>
          <w:rFonts w:cstheme="minorHAnsi"/>
        </w:rPr>
      </w:pPr>
    </w:p>
    <w:p w:rsidR="00726BDB" w:rsidRPr="004E6778" w:rsidRDefault="00181AAA" w:rsidP="00A32BB8">
      <w:pPr>
        <w:spacing w:after="0" w:line="240" w:lineRule="auto"/>
        <w:contextualSpacing/>
        <w:jc w:val="center"/>
        <w:rPr>
          <w:rFonts w:cstheme="minorHAnsi"/>
        </w:rPr>
      </w:pPr>
      <w:r>
        <w:rPr>
          <w:rFonts w:cstheme="minorHAnsi"/>
          <w:noProof/>
        </w:rPr>
        <w:lastRenderedPageBreak/>
        <w:drawing>
          <wp:inline distT="0" distB="0" distL="0" distR="0">
            <wp:extent cx="5943600"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H Buyback Deta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rsidR="00A32BB8" w:rsidRDefault="00A32BB8" w:rsidP="004E6778">
      <w:pPr>
        <w:spacing w:after="0" w:line="240" w:lineRule="auto"/>
        <w:contextualSpacing/>
        <w:rPr>
          <w:rFonts w:cstheme="minorHAnsi"/>
        </w:rPr>
      </w:pPr>
    </w:p>
    <w:p w:rsidR="001428C0" w:rsidRPr="004E6778" w:rsidRDefault="001428C0" w:rsidP="004E6778">
      <w:pPr>
        <w:spacing w:after="0" w:line="240" w:lineRule="auto"/>
        <w:contextualSpacing/>
        <w:rPr>
          <w:rFonts w:cstheme="minorHAnsi"/>
        </w:rPr>
      </w:pPr>
      <w:r w:rsidRPr="004E6778">
        <w:rPr>
          <w:rFonts w:cstheme="minorHAnsi"/>
        </w:rPr>
        <w:t xml:space="preserve">You can sort the buyback lines using the column headers, or filter them by entering specific information in the </w:t>
      </w:r>
      <w:r w:rsidRPr="004E6778">
        <w:rPr>
          <w:rFonts w:cstheme="minorHAnsi"/>
          <w:b/>
        </w:rPr>
        <w:t>Filter Results</w:t>
      </w:r>
      <w:r w:rsidRPr="004E6778">
        <w:rPr>
          <w:rFonts w:cstheme="minorHAnsi"/>
        </w:rPr>
        <w:t xml:space="preserve"> field.</w:t>
      </w:r>
    </w:p>
    <w:p w:rsidR="00A32BB8" w:rsidRDefault="00A32BB8" w:rsidP="004E6778">
      <w:pPr>
        <w:spacing w:after="0" w:line="240" w:lineRule="auto"/>
        <w:contextualSpacing/>
        <w:rPr>
          <w:rFonts w:cstheme="minorHAnsi"/>
          <w:b/>
        </w:rPr>
      </w:pPr>
    </w:p>
    <w:p w:rsidR="001C3C50" w:rsidRPr="004E6778" w:rsidRDefault="001428C0" w:rsidP="004E6778">
      <w:pPr>
        <w:spacing w:after="0" w:line="240" w:lineRule="auto"/>
        <w:contextualSpacing/>
        <w:rPr>
          <w:rFonts w:cstheme="minorHAnsi"/>
        </w:rPr>
      </w:pPr>
      <w:r w:rsidRPr="00A32BB8">
        <w:rPr>
          <w:rFonts w:cstheme="minorHAnsi"/>
          <w:u w:val="single"/>
        </w:rPr>
        <w:t>Dealer Code</w:t>
      </w:r>
      <w:r w:rsidR="00A32BB8">
        <w:rPr>
          <w:rFonts w:cstheme="minorHAnsi"/>
          <w:u w:val="single"/>
        </w:rPr>
        <w:t>:</w:t>
      </w:r>
      <w:r w:rsidR="00A32BB8">
        <w:rPr>
          <w:rFonts w:cstheme="minorHAnsi"/>
        </w:rPr>
        <w:t xml:space="preserve"> </w:t>
      </w:r>
      <w:r w:rsidR="001C3C50" w:rsidRPr="004E6778">
        <w:rPr>
          <w:rFonts w:cstheme="minorHAnsi"/>
        </w:rPr>
        <w:t>Set the dealer code for the buyback.  This applies mainly to dealers that have more than one CNH code.</w:t>
      </w:r>
    </w:p>
    <w:p w:rsidR="00A32BB8" w:rsidRDefault="00A32BB8" w:rsidP="004E6778">
      <w:pPr>
        <w:spacing w:after="0" w:line="240" w:lineRule="auto"/>
        <w:contextualSpacing/>
        <w:rPr>
          <w:rFonts w:cstheme="minorHAnsi"/>
          <w:b/>
        </w:rPr>
      </w:pPr>
    </w:p>
    <w:p w:rsidR="001C3C50" w:rsidRPr="004E6778" w:rsidRDefault="001428C0" w:rsidP="004E6778">
      <w:pPr>
        <w:spacing w:after="0" w:line="240" w:lineRule="auto"/>
        <w:contextualSpacing/>
        <w:rPr>
          <w:rFonts w:cstheme="minorHAnsi"/>
        </w:rPr>
      </w:pPr>
      <w:r w:rsidRPr="00A32BB8">
        <w:rPr>
          <w:rFonts w:cstheme="minorHAnsi"/>
          <w:u w:val="single"/>
        </w:rPr>
        <w:t>Buyback Type</w:t>
      </w:r>
      <w:r w:rsidR="00A32BB8">
        <w:rPr>
          <w:rFonts w:cstheme="minorHAnsi"/>
          <w:u w:val="single"/>
        </w:rPr>
        <w:t>:</w:t>
      </w:r>
      <w:r w:rsidR="00A32BB8">
        <w:rPr>
          <w:rFonts w:cstheme="minorHAnsi"/>
        </w:rPr>
        <w:t xml:space="preserve"> </w:t>
      </w:r>
      <w:r w:rsidR="001C3C50" w:rsidRPr="004E6778">
        <w:rPr>
          <w:rFonts w:cstheme="minorHAnsi"/>
        </w:rPr>
        <w:t xml:space="preserve">Set the buyback type.  This will generally be “3-Surplus Buyback,” though some dealers may have other options.  Note that this is a </w:t>
      </w:r>
      <w:r w:rsidR="001C3C50" w:rsidRPr="004E6778">
        <w:rPr>
          <w:rFonts w:cstheme="minorHAnsi"/>
          <w:b/>
        </w:rPr>
        <w:t>required</w:t>
      </w:r>
      <w:r w:rsidR="001C3C50" w:rsidRPr="004E6778">
        <w:rPr>
          <w:rFonts w:cstheme="minorHAnsi"/>
        </w:rPr>
        <w:t xml:space="preserve"> field—you cannot verify the buyback without a type.</w:t>
      </w:r>
    </w:p>
    <w:p w:rsidR="00A32BB8" w:rsidRDefault="00A32BB8" w:rsidP="004E6778">
      <w:pPr>
        <w:spacing w:after="0" w:line="240" w:lineRule="auto"/>
        <w:contextualSpacing/>
        <w:rPr>
          <w:rFonts w:cstheme="minorHAnsi"/>
          <w:b/>
        </w:rPr>
      </w:pPr>
    </w:p>
    <w:p w:rsidR="001428C0" w:rsidRPr="00A32BB8" w:rsidRDefault="001428C0" w:rsidP="004E6778">
      <w:pPr>
        <w:spacing w:after="0" w:line="240" w:lineRule="auto"/>
        <w:contextualSpacing/>
        <w:rPr>
          <w:rFonts w:cstheme="minorHAnsi"/>
        </w:rPr>
      </w:pPr>
      <w:r w:rsidRPr="00A32BB8">
        <w:rPr>
          <w:rFonts w:cstheme="minorHAnsi"/>
          <w:u w:val="single"/>
        </w:rPr>
        <w:t>Reject Stock Disposition</w:t>
      </w:r>
      <w:r w:rsidR="00A32BB8">
        <w:rPr>
          <w:rFonts w:cstheme="minorHAnsi"/>
          <w:u w:val="single"/>
        </w:rPr>
        <w:t>:</w:t>
      </w:r>
      <w:r w:rsidR="00A32BB8">
        <w:rPr>
          <w:rFonts w:cstheme="minorHAnsi"/>
        </w:rPr>
        <w:t xml:space="preserve"> </w:t>
      </w:r>
    </w:p>
    <w:p w:rsidR="00A32BB8" w:rsidRDefault="00A32BB8" w:rsidP="004E6778">
      <w:pPr>
        <w:spacing w:after="0" w:line="240" w:lineRule="auto"/>
        <w:contextualSpacing/>
        <w:rPr>
          <w:rFonts w:cstheme="minorHAnsi"/>
        </w:rPr>
      </w:pPr>
    </w:p>
    <w:p w:rsidR="00A32BB8" w:rsidRDefault="001C3C50" w:rsidP="00A32BB8">
      <w:pPr>
        <w:pStyle w:val="ListParagraph"/>
        <w:numPr>
          <w:ilvl w:val="0"/>
          <w:numId w:val="2"/>
        </w:numPr>
        <w:spacing w:after="0" w:line="240" w:lineRule="auto"/>
        <w:rPr>
          <w:rFonts w:cstheme="minorHAnsi"/>
        </w:rPr>
      </w:pPr>
      <w:r w:rsidRPr="00A32BB8">
        <w:rPr>
          <w:rFonts w:cstheme="minorHAnsi"/>
        </w:rPr>
        <w:t xml:space="preserve">Check this box to reject the stock disposition for the buyback.  </w:t>
      </w:r>
    </w:p>
    <w:p w:rsidR="001C3C50" w:rsidRPr="00A32BB8" w:rsidRDefault="001C3C50" w:rsidP="00A32BB8">
      <w:pPr>
        <w:pStyle w:val="ListParagraph"/>
        <w:numPr>
          <w:ilvl w:val="0"/>
          <w:numId w:val="2"/>
        </w:numPr>
        <w:spacing w:after="0" w:line="240" w:lineRule="auto"/>
        <w:rPr>
          <w:rFonts w:cstheme="minorHAnsi"/>
        </w:rPr>
      </w:pPr>
      <w:r w:rsidRPr="00A32BB8">
        <w:rPr>
          <w:rFonts w:cstheme="minorHAnsi"/>
        </w:rPr>
        <w:t>Leave it blank to accept the disposition.</w:t>
      </w:r>
    </w:p>
    <w:p w:rsidR="00A32BB8" w:rsidRDefault="00A32BB8" w:rsidP="004E6778">
      <w:pPr>
        <w:spacing w:after="0" w:line="240" w:lineRule="auto"/>
        <w:contextualSpacing/>
        <w:rPr>
          <w:rFonts w:cstheme="minorHAnsi"/>
          <w:b/>
        </w:rPr>
      </w:pPr>
    </w:p>
    <w:p w:rsidR="001428C0" w:rsidRPr="00A32BB8" w:rsidRDefault="001428C0" w:rsidP="004E6778">
      <w:pPr>
        <w:spacing w:after="0" w:line="240" w:lineRule="auto"/>
        <w:contextualSpacing/>
        <w:rPr>
          <w:rFonts w:cstheme="minorHAnsi"/>
          <w:u w:val="single"/>
        </w:rPr>
      </w:pPr>
      <w:r w:rsidRPr="00A32BB8">
        <w:rPr>
          <w:rFonts w:cstheme="minorHAnsi"/>
          <w:u w:val="single"/>
        </w:rPr>
        <w:t>Grid Columns</w:t>
      </w:r>
      <w:r w:rsidR="00A32BB8">
        <w:rPr>
          <w:rFonts w:cstheme="minorHAnsi"/>
          <w:u w:val="single"/>
        </w:rPr>
        <w:t>:</w:t>
      </w:r>
    </w:p>
    <w:p w:rsidR="00A32BB8" w:rsidRDefault="00A32BB8" w:rsidP="004E6778">
      <w:pPr>
        <w:spacing w:after="0" w:line="240" w:lineRule="auto"/>
        <w:contextualSpacing/>
        <w:rPr>
          <w:rFonts w:cstheme="minorHAnsi"/>
          <w:b/>
        </w:rPr>
      </w:pPr>
    </w:p>
    <w:p w:rsidR="001C3C50" w:rsidRPr="00A32BB8" w:rsidRDefault="001428C0" w:rsidP="004E6778">
      <w:pPr>
        <w:spacing w:after="0" w:line="240" w:lineRule="auto"/>
        <w:contextualSpacing/>
        <w:rPr>
          <w:rFonts w:cstheme="minorHAnsi"/>
          <w:b/>
        </w:rPr>
      </w:pPr>
      <w:r w:rsidRPr="004E6778">
        <w:rPr>
          <w:rFonts w:cstheme="minorHAnsi"/>
          <w:b/>
        </w:rPr>
        <w:t>Part</w:t>
      </w:r>
      <w:r w:rsidR="00A32BB8">
        <w:rPr>
          <w:rFonts w:cstheme="minorHAnsi"/>
          <w:b/>
        </w:rPr>
        <w:t xml:space="preserve">: </w:t>
      </w:r>
      <w:r w:rsidR="001C3C50" w:rsidRPr="004E6778">
        <w:rPr>
          <w:rFonts w:cstheme="minorHAnsi"/>
        </w:rPr>
        <w:t>This column shows the part number for the buyback line.</w:t>
      </w:r>
    </w:p>
    <w:p w:rsidR="00A32BB8" w:rsidRDefault="00A32BB8" w:rsidP="004E6778">
      <w:pPr>
        <w:spacing w:after="0" w:line="240" w:lineRule="auto"/>
        <w:contextualSpacing/>
        <w:rPr>
          <w:rFonts w:cstheme="minorHAnsi"/>
          <w:b/>
        </w:rPr>
      </w:pPr>
    </w:p>
    <w:p w:rsidR="001C3C50" w:rsidRPr="00A32BB8" w:rsidRDefault="001428C0" w:rsidP="004E6778">
      <w:pPr>
        <w:spacing w:after="0" w:line="240" w:lineRule="auto"/>
        <w:contextualSpacing/>
        <w:rPr>
          <w:rFonts w:cstheme="minorHAnsi"/>
          <w:b/>
        </w:rPr>
      </w:pPr>
      <w:r w:rsidRPr="004E6778">
        <w:rPr>
          <w:rFonts w:cstheme="minorHAnsi"/>
          <w:b/>
        </w:rPr>
        <w:t>Quantity</w:t>
      </w:r>
      <w:r w:rsidR="00A32BB8">
        <w:rPr>
          <w:rFonts w:cstheme="minorHAnsi"/>
          <w:b/>
        </w:rPr>
        <w:t xml:space="preserve">: </w:t>
      </w:r>
      <w:r w:rsidR="001C3C50" w:rsidRPr="004E6778">
        <w:rPr>
          <w:rFonts w:cstheme="minorHAnsi"/>
        </w:rPr>
        <w:t>This column shows the part quantity for the buyback line.</w:t>
      </w:r>
    </w:p>
    <w:p w:rsidR="00A32BB8" w:rsidRDefault="00A32BB8" w:rsidP="004E6778">
      <w:pPr>
        <w:spacing w:after="0" w:line="240" w:lineRule="auto"/>
        <w:contextualSpacing/>
        <w:rPr>
          <w:rFonts w:cstheme="minorHAnsi"/>
          <w:b/>
        </w:rPr>
      </w:pPr>
    </w:p>
    <w:p w:rsidR="001C3C50" w:rsidRPr="00A32BB8" w:rsidRDefault="001428C0" w:rsidP="004E6778">
      <w:pPr>
        <w:spacing w:after="0" w:line="240" w:lineRule="auto"/>
        <w:contextualSpacing/>
        <w:rPr>
          <w:rFonts w:cstheme="minorHAnsi"/>
          <w:b/>
        </w:rPr>
      </w:pPr>
      <w:r w:rsidRPr="004E6778">
        <w:rPr>
          <w:rFonts w:cstheme="minorHAnsi"/>
          <w:b/>
        </w:rPr>
        <w:t>Bin Location</w:t>
      </w:r>
      <w:r w:rsidR="00A32BB8">
        <w:rPr>
          <w:rFonts w:cstheme="minorHAnsi"/>
          <w:b/>
        </w:rPr>
        <w:t xml:space="preserve">: </w:t>
      </w:r>
      <w:r w:rsidR="001C3C50" w:rsidRPr="004E6778">
        <w:rPr>
          <w:rFonts w:cstheme="minorHAnsi"/>
        </w:rPr>
        <w:t>This column shows the bin location for the part on the buyback line.</w:t>
      </w:r>
    </w:p>
    <w:p w:rsidR="00A32BB8" w:rsidRDefault="00A32BB8" w:rsidP="004E6778">
      <w:pPr>
        <w:spacing w:after="0" w:line="240" w:lineRule="auto"/>
        <w:contextualSpacing/>
        <w:rPr>
          <w:rFonts w:cstheme="minorHAnsi"/>
          <w:b/>
        </w:rPr>
      </w:pPr>
    </w:p>
    <w:p w:rsidR="001C3C50" w:rsidRPr="00A32BB8" w:rsidRDefault="001428C0" w:rsidP="004E6778">
      <w:pPr>
        <w:spacing w:after="0" w:line="240" w:lineRule="auto"/>
        <w:contextualSpacing/>
        <w:rPr>
          <w:rFonts w:cstheme="minorHAnsi"/>
          <w:b/>
        </w:rPr>
      </w:pPr>
      <w:r w:rsidRPr="004E6778">
        <w:rPr>
          <w:rFonts w:cstheme="minorHAnsi"/>
          <w:b/>
        </w:rPr>
        <w:t>Blocking Message</w:t>
      </w:r>
      <w:r w:rsidR="00A32BB8">
        <w:rPr>
          <w:rFonts w:cstheme="minorHAnsi"/>
          <w:b/>
        </w:rPr>
        <w:t xml:space="preserve">: </w:t>
      </w:r>
      <w:r w:rsidR="001C3C50" w:rsidRPr="004E6778">
        <w:rPr>
          <w:rFonts w:cstheme="minorHAnsi"/>
        </w:rPr>
        <w:t xml:space="preserve">This column will typically be </w:t>
      </w:r>
      <w:r w:rsidR="001C3C50" w:rsidRPr="004E6778">
        <w:rPr>
          <w:rFonts w:cstheme="minorHAnsi"/>
          <w:b/>
        </w:rPr>
        <w:t>blank</w:t>
      </w:r>
      <w:r w:rsidR="001C3C50" w:rsidRPr="004E6778">
        <w:rPr>
          <w:rFonts w:cstheme="minorHAnsi"/>
        </w:rPr>
        <w:t xml:space="preserve"> in this screen.  It is reserved for use after the line is verified.</w:t>
      </w:r>
    </w:p>
    <w:p w:rsidR="00A32BB8" w:rsidRDefault="00A32BB8" w:rsidP="004E6778">
      <w:pPr>
        <w:spacing w:after="0" w:line="240" w:lineRule="auto"/>
        <w:contextualSpacing/>
        <w:rPr>
          <w:rFonts w:cstheme="minorHAnsi"/>
          <w:b/>
        </w:rPr>
      </w:pPr>
    </w:p>
    <w:p w:rsidR="000431A6" w:rsidRPr="00A32BB8" w:rsidRDefault="001428C0" w:rsidP="004E6778">
      <w:pPr>
        <w:spacing w:after="0" w:line="240" w:lineRule="auto"/>
        <w:contextualSpacing/>
        <w:rPr>
          <w:rFonts w:cstheme="minorHAnsi"/>
          <w:b/>
        </w:rPr>
      </w:pPr>
      <w:r w:rsidRPr="004E6778">
        <w:rPr>
          <w:rFonts w:cstheme="minorHAnsi"/>
          <w:b/>
        </w:rPr>
        <w:t>Warning Message</w:t>
      </w:r>
      <w:r w:rsidR="00A32BB8">
        <w:rPr>
          <w:rFonts w:cstheme="minorHAnsi"/>
          <w:b/>
        </w:rPr>
        <w:t xml:space="preserve">: </w:t>
      </w:r>
      <w:r w:rsidR="000431A6" w:rsidRPr="004E6778">
        <w:rPr>
          <w:rFonts w:cstheme="minorHAnsi"/>
        </w:rPr>
        <w:t xml:space="preserve">This column will typically be </w:t>
      </w:r>
      <w:r w:rsidR="000431A6" w:rsidRPr="004E6778">
        <w:rPr>
          <w:rFonts w:cstheme="minorHAnsi"/>
          <w:b/>
        </w:rPr>
        <w:t>blank</w:t>
      </w:r>
      <w:r w:rsidR="000431A6" w:rsidRPr="004E6778">
        <w:rPr>
          <w:rFonts w:cstheme="minorHAnsi"/>
        </w:rPr>
        <w:t xml:space="preserve"> in this screen.  It is reserved for use after the line is verified.</w:t>
      </w:r>
    </w:p>
    <w:p w:rsidR="00A32BB8" w:rsidRDefault="00A32BB8" w:rsidP="004E6778">
      <w:pPr>
        <w:spacing w:after="0" w:line="240" w:lineRule="auto"/>
        <w:contextualSpacing/>
        <w:rPr>
          <w:rFonts w:cstheme="minorHAnsi"/>
          <w:b/>
        </w:rPr>
      </w:pPr>
    </w:p>
    <w:p w:rsidR="000431A6" w:rsidRPr="004E6778" w:rsidRDefault="001428C0" w:rsidP="004E6778">
      <w:pPr>
        <w:spacing w:after="0" w:line="240" w:lineRule="auto"/>
        <w:contextualSpacing/>
        <w:rPr>
          <w:rFonts w:cstheme="minorHAnsi"/>
        </w:rPr>
      </w:pPr>
      <w:r w:rsidRPr="00A32BB8">
        <w:rPr>
          <w:rFonts w:cstheme="minorHAnsi"/>
          <w:u w:val="single"/>
        </w:rPr>
        <w:t>Refresh</w:t>
      </w:r>
      <w:r w:rsidR="00A32BB8">
        <w:rPr>
          <w:rFonts w:cstheme="minorHAnsi"/>
          <w:u w:val="single"/>
        </w:rPr>
        <w:t>:</w:t>
      </w:r>
      <w:r w:rsidR="00A32BB8">
        <w:rPr>
          <w:rFonts w:cstheme="minorHAnsi"/>
        </w:rPr>
        <w:t xml:space="preserve"> </w:t>
      </w:r>
      <w:r w:rsidR="000431A6" w:rsidRPr="004E6778">
        <w:rPr>
          <w:rFonts w:cstheme="minorHAnsi"/>
        </w:rPr>
        <w:t>Click this button to update the buyback details.  Any changes made to the buyback since it was opened in this screen will appear.</w:t>
      </w:r>
    </w:p>
    <w:p w:rsidR="00A32BB8" w:rsidRDefault="00A32BB8" w:rsidP="004E6778">
      <w:pPr>
        <w:spacing w:after="0" w:line="240" w:lineRule="auto"/>
        <w:contextualSpacing/>
        <w:rPr>
          <w:rFonts w:cstheme="minorHAnsi"/>
          <w:b/>
        </w:rPr>
      </w:pPr>
    </w:p>
    <w:p w:rsidR="000431A6" w:rsidRPr="004E6778" w:rsidRDefault="001428C0" w:rsidP="004E6778">
      <w:pPr>
        <w:spacing w:after="0" w:line="240" w:lineRule="auto"/>
        <w:contextualSpacing/>
        <w:rPr>
          <w:rFonts w:cstheme="minorHAnsi"/>
        </w:rPr>
      </w:pPr>
      <w:r w:rsidRPr="00A32BB8">
        <w:rPr>
          <w:rFonts w:cstheme="minorHAnsi"/>
          <w:u w:val="single"/>
        </w:rPr>
        <w:t>Close</w:t>
      </w:r>
      <w:r w:rsidR="00A32BB8">
        <w:rPr>
          <w:rFonts w:cstheme="minorHAnsi"/>
          <w:u w:val="single"/>
        </w:rPr>
        <w:t>:</w:t>
      </w:r>
      <w:r w:rsidR="00A32BB8">
        <w:rPr>
          <w:rFonts w:cstheme="minorHAnsi"/>
        </w:rPr>
        <w:t xml:space="preserve"> </w:t>
      </w:r>
      <w:r w:rsidR="000431A6" w:rsidRPr="004E6778">
        <w:rPr>
          <w:rFonts w:cstheme="minorHAnsi"/>
        </w:rPr>
        <w:t>Click this button to close the screen.</w:t>
      </w:r>
    </w:p>
    <w:p w:rsidR="00A32BB8" w:rsidRDefault="00A32BB8" w:rsidP="004E6778">
      <w:pPr>
        <w:spacing w:after="0" w:line="240" w:lineRule="auto"/>
        <w:contextualSpacing/>
        <w:rPr>
          <w:rFonts w:cstheme="minorHAnsi"/>
          <w:b/>
        </w:rPr>
      </w:pPr>
    </w:p>
    <w:p w:rsidR="000431A6" w:rsidRPr="004E6778" w:rsidRDefault="001428C0" w:rsidP="004E6778">
      <w:pPr>
        <w:spacing w:after="0" w:line="240" w:lineRule="auto"/>
        <w:contextualSpacing/>
        <w:rPr>
          <w:rFonts w:cstheme="minorHAnsi"/>
        </w:rPr>
      </w:pPr>
      <w:r w:rsidRPr="00A32BB8">
        <w:rPr>
          <w:rFonts w:cstheme="minorHAnsi"/>
          <w:u w:val="single"/>
        </w:rPr>
        <w:t>Verify</w:t>
      </w:r>
      <w:r w:rsidR="00A32BB8">
        <w:rPr>
          <w:rFonts w:cstheme="minorHAnsi"/>
          <w:u w:val="single"/>
        </w:rPr>
        <w:t>:</w:t>
      </w:r>
      <w:r w:rsidR="00A32BB8">
        <w:rPr>
          <w:rFonts w:cstheme="minorHAnsi"/>
        </w:rPr>
        <w:t xml:space="preserve"> </w:t>
      </w:r>
      <w:r w:rsidR="000431A6" w:rsidRPr="004E6778">
        <w:rPr>
          <w:rFonts w:cstheme="minorHAnsi"/>
        </w:rPr>
        <w:t>Click this button to send the buyback to CNH for verification.  If the verification is successful, this screen will close and be replaced with the CNH Buyback Details screen (see below).</w:t>
      </w:r>
    </w:p>
    <w:p w:rsidR="00A32BB8" w:rsidRDefault="00A32BB8" w:rsidP="004E6778">
      <w:pPr>
        <w:spacing w:after="0" w:line="240" w:lineRule="auto"/>
        <w:contextualSpacing/>
        <w:rPr>
          <w:rFonts w:cstheme="minorHAnsi"/>
        </w:rPr>
      </w:pPr>
    </w:p>
    <w:p w:rsidR="000431A6" w:rsidRPr="004E6778" w:rsidRDefault="000431A6" w:rsidP="00A32BB8">
      <w:pPr>
        <w:spacing w:after="0" w:line="240" w:lineRule="auto"/>
        <w:contextualSpacing/>
        <w:jc w:val="center"/>
        <w:rPr>
          <w:rFonts w:cstheme="minorHAnsi"/>
        </w:rPr>
      </w:pPr>
      <w:r w:rsidRPr="004E6778">
        <w:rPr>
          <w:rFonts w:cstheme="minorHAnsi"/>
          <w:noProof/>
        </w:rPr>
        <w:drawing>
          <wp:inline distT="0" distB="0" distL="0" distR="0" wp14:anchorId="60ADA1FC" wp14:editId="59298F52">
            <wp:extent cx="5943600" cy="2588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8260"/>
                    </a:xfrm>
                    <a:prstGeom prst="rect">
                      <a:avLst/>
                    </a:prstGeom>
                  </pic:spPr>
                </pic:pic>
              </a:graphicData>
            </a:graphic>
          </wp:inline>
        </w:drawing>
      </w:r>
    </w:p>
    <w:p w:rsidR="00A32BB8" w:rsidRDefault="00A32BB8" w:rsidP="004E6778">
      <w:pPr>
        <w:spacing w:after="0" w:line="240" w:lineRule="auto"/>
        <w:contextualSpacing/>
        <w:rPr>
          <w:rFonts w:cstheme="minorHAnsi"/>
        </w:rPr>
      </w:pPr>
    </w:p>
    <w:p w:rsidR="000431A6" w:rsidRDefault="00A32BB8" w:rsidP="004E6778">
      <w:pPr>
        <w:spacing w:after="0" w:line="240" w:lineRule="auto"/>
        <w:contextualSpacing/>
        <w:rPr>
          <w:rFonts w:cstheme="minorHAnsi"/>
        </w:rPr>
      </w:pPr>
      <w:r w:rsidRPr="00A32BB8">
        <w:rPr>
          <w:rFonts w:cstheme="minorHAnsi"/>
          <w:b/>
          <w:u w:val="single"/>
        </w:rPr>
        <w:t>CNH Buyback Details</w:t>
      </w:r>
      <w:r>
        <w:rPr>
          <w:rFonts w:cstheme="minorHAnsi"/>
        </w:rPr>
        <w:t xml:space="preserve">: This window appears after you send the buyback for verification successfully. </w:t>
      </w:r>
      <w:r w:rsidR="000431A6" w:rsidRPr="004E6778">
        <w:rPr>
          <w:rFonts w:cstheme="minorHAnsi"/>
        </w:rPr>
        <w:t xml:space="preserve">You can sort the buyback lines using the column headers, or filter them by entering specific information in the </w:t>
      </w:r>
      <w:r w:rsidR="000431A6" w:rsidRPr="004E6778">
        <w:rPr>
          <w:rFonts w:cstheme="minorHAnsi"/>
          <w:b/>
        </w:rPr>
        <w:t>Filter Results</w:t>
      </w:r>
      <w:r w:rsidR="000431A6" w:rsidRPr="004E6778">
        <w:rPr>
          <w:rFonts w:cstheme="minorHAnsi"/>
        </w:rPr>
        <w:t xml:space="preserve"> field.</w:t>
      </w:r>
    </w:p>
    <w:p w:rsidR="00A32BB8" w:rsidRPr="004E6778" w:rsidRDefault="00A32BB8" w:rsidP="004E6778">
      <w:pPr>
        <w:spacing w:after="0" w:line="240" w:lineRule="auto"/>
        <w:contextualSpacing/>
        <w:rPr>
          <w:rFonts w:cstheme="minorHAnsi"/>
        </w:rPr>
      </w:pPr>
    </w:p>
    <w:p w:rsidR="000431A6" w:rsidRPr="004E6778" w:rsidRDefault="000431A6" w:rsidP="004E6778">
      <w:pPr>
        <w:spacing w:after="0" w:line="240" w:lineRule="auto"/>
        <w:contextualSpacing/>
        <w:rPr>
          <w:rFonts w:cstheme="minorHAnsi"/>
        </w:rPr>
      </w:pPr>
      <w:r w:rsidRPr="00A32BB8">
        <w:rPr>
          <w:rFonts w:cstheme="minorHAnsi"/>
          <w:u w:val="single"/>
        </w:rPr>
        <w:t>Dealer Reference</w:t>
      </w:r>
      <w:r w:rsidR="00A32BB8">
        <w:rPr>
          <w:rFonts w:cstheme="minorHAnsi"/>
          <w:u w:val="single"/>
        </w:rPr>
        <w:t>:</w:t>
      </w:r>
      <w:r w:rsidR="00A32BB8">
        <w:rPr>
          <w:rFonts w:cstheme="minorHAnsi"/>
        </w:rPr>
        <w:t xml:space="preserve"> </w:t>
      </w:r>
      <w:r w:rsidRPr="004E6778">
        <w:rPr>
          <w:rFonts w:cstheme="minorHAnsi"/>
        </w:rPr>
        <w:t>This field shows the dealer-assigned buyback number.</w:t>
      </w:r>
    </w:p>
    <w:p w:rsidR="00A32BB8" w:rsidRDefault="00A32BB8" w:rsidP="004E6778">
      <w:pPr>
        <w:spacing w:after="0" w:line="240" w:lineRule="auto"/>
        <w:contextualSpacing/>
        <w:rPr>
          <w:rFonts w:cstheme="minorHAnsi"/>
          <w:b/>
        </w:rPr>
      </w:pPr>
    </w:p>
    <w:p w:rsidR="000431A6" w:rsidRPr="004E6778" w:rsidRDefault="000431A6" w:rsidP="004E6778">
      <w:pPr>
        <w:spacing w:after="0" w:line="240" w:lineRule="auto"/>
        <w:contextualSpacing/>
        <w:rPr>
          <w:rFonts w:cstheme="minorHAnsi"/>
        </w:rPr>
      </w:pPr>
      <w:r w:rsidRPr="00A32BB8">
        <w:rPr>
          <w:rFonts w:cstheme="minorHAnsi"/>
          <w:u w:val="single"/>
        </w:rPr>
        <w:t>Buyback Number</w:t>
      </w:r>
      <w:r w:rsidR="00A32BB8">
        <w:rPr>
          <w:rFonts w:cstheme="minorHAnsi"/>
          <w:u w:val="single"/>
        </w:rPr>
        <w:t>:</w:t>
      </w:r>
      <w:r w:rsidR="00A32BB8">
        <w:rPr>
          <w:rFonts w:cstheme="minorHAnsi"/>
        </w:rPr>
        <w:t xml:space="preserve"> </w:t>
      </w:r>
      <w:r w:rsidRPr="004E6778">
        <w:rPr>
          <w:rFonts w:cstheme="minorHAnsi"/>
        </w:rPr>
        <w:t>This field shows the CNH-assigned buyback number.</w:t>
      </w:r>
    </w:p>
    <w:p w:rsidR="00A32BB8" w:rsidRDefault="00A32BB8" w:rsidP="004E6778">
      <w:pPr>
        <w:spacing w:after="0" w:line="240" w:lineRule="auto"/>
        <w:contextualSpacing/>
        <w:rPr>
          <w:rFonts w:cstheme="minorHAnsi"/>
          <w:b/>
        </w:rPr>
      </w:pPr>
    </w:p>
    <w:p w:rsidR="000431A6" w:rsidRPr="004E6778" w:rsidRDefault="000431A6" w:rsidP="004E6778">
      <w:pPr>
        <w:spacing w:after="0" w:line="240" w:lineRule="auto"/>
        <w:contextualSpacing/>
        <w:rPr>
          <w:rFonts w:cstheme="minorHAnsi"/>
        </w:rPr>
      </w:pPr>
      <w:r w:rsidRPr="00A32BB8">
        <w:rPr>
          <w:rFonts w:cstheme="minorHAnsi"/>
          <w:u w:val="single"/>
        </w:rPr>
        <w:t>Buyback Type</w:t>
      </w:r>
      <w:r w:rsidR="00A32BB8">
        <w:rPr>
          <w:rFonts w:cstheme="minorHAnsi"/>
          <w:u w:val="single"/>
        </w:rPr>
        <w:t>:</w:t>
      </w:r>
      <w:r w:rsidR="00A32BB8">
        <w:rPr>
          <w:rFonts w:cstheme="minorHAnsi"/>
        </w:rPr>
        <w:t xml:space="preserve"> </w:t>
      </w:r>
      <w:r w:rsidRPr="004E6778">
        <w:rPr>
          <w:rFonts w:cstheme="minorHAnsi"/>
        </w:rPr>
        <w:t>This field shows the buyback type.</w:t>
      </w:r>
    </w:p>
    <w:p w:rsidR="00A32BB8" w:rsidRDefault="00A32BB8" w:rsidP="004E6778">
      <w:pPr>
        <w:spacing w:after="0" w:line="240" w:lineRule="auto"/>
        <w:contextualSpacing/>
        <w:rPr>
          <w:rFonts w:cstheme="minorHAnsi"/>
          <w:b/>
        </w:rPr>
      </w:pPr>
    </w:p>
    <w:p w:rsidR="000431A6" w:rsidRPr="004E6778" w:rsidRDefault="000431A6" w:rsidP="004E6778">
      <w:pPr>
        <w:spacing w:after="0" w:line="240" w:lineRule="auto"/>
        <w:contextualSpacing/>
        <w:rPr>
          <w:rFonts w:cstheme="minorHAnsi"/>
        </w:rPr>
      </w:pPr>
      <w:r w:rsidRPr="00A32BB8">
        <w:rPr>
          <w:rFonts w:cstheme="minorHAnsi"/>
          <w:u w:val="single"/>
        </w:rPr>
        <w:t>Buyback Status</w:t>
      </w:r>
      <w:r w:rsidR="00A32BB8">
        <w:rPr>
          <w:rFonts w:cstheme="minorHAnsi"/>
          <w:u w:val="single"/>
        </w:rPr>
        <w:t>:</w:t>
      </w:r>
      <w:r w:rsidR="00A32BB8">
        <w:rPr>
          <w:rFonts w:cstheme="minorHAnsi"/>
        </w:rPr>
        <w:t xml:space="preserve"> </w:t>
      </w:r>
      <w:r w:rsidRPr="004E6778">
        <w:rPr>
          <w:rFonts w:cstheme="minorHAnsi"/>
        </w:rPr>
        <w:t>This field shows the buyback’s current status.</w:t>
      </w:r>
    </w:p>
    <w:p w:rsidR="00A32BB8" w:rsidRDefault="00A32BB8" w:rsidP="004E6778">
      <w:pPr>
        <w:spacing w:after="0" w:line="240" w:lineRule="auto"/>
        <w:contextualSpacing/>
        <w:rPr>
          <w:rFonts w:cstheme="minorHAnsi"/>
          <w:b/>
        </w:rPr>
      </w:pPr>
    </w:p>
    <w:p w:rsidR="000431A6" w:rsidRPr="00A32BB8" w:rsidRDefault="000431A6" w:rsidP="004E6778">
      <w:pPr>
        <w:spacing w:after="0" w:line="240" w:lineRule="auto"/>
        <w:contextualSpacing/>
        <w:rPr>
          <w:rFonts w:cstheme="minorHAnsi"/>
        </w:rPr>
      </w:pPr>
      <w:r w:rsidRPr="00A32BB8">
        <w:rPr>
          <w:rFonts w:cstheme="minorHAnsi"/>
          <w:u w:val="single"/>
        </w:rPr>
        <w:t>Grid Columns</w:t>
      </w:r>
      <w:r w:rsidR="00A32BB8">
        <w:rPr>
          <w:rFonts w:cstheme="minorHAnsi"/>
          <w:u w:val="single"/>
        </w:rPr>
        <w:t>:</w:t>
      </w:r>
      <w:r w:rsidR="00A32BB8">
        <w:rPr>
          <w:rFonts w:cstheme="minorHAnsi"/>
        </w:rPr>
        <w:t xml:space="preserve"> </w:t>
      </w:r>
    </w:p>
    <w:p w:rsidR="00A32BB8" w:rsidRDefault="00A32BB8" w:rsidP="004E6778">
      <w:pPr>
        <w:spacing w:after="0" w:line="240" w:lineRule="auto"/>
        <w:contextualSpacing/>
        <w:rPr>
          <w:rFonts w:cstheme="minorHAnsi"/>
          <w:b/>
        </w:rPr>
      </w:pPr>
    </w:p>
    <w:p w:rsidR="000431A6" w:rsidRPr="00A32BB8" w:rsidRDefault="000431A6" w:rsidP="004E6778">
      <w:pPr>
        <w:spacing w:after="0" w:line="240" w:lineRule="auto"/>
        <w:contextualSpacing/>
        <w:rPr>
          <w:rFonts w:cstheme="minorHAnsi"/>
          <w:b/>
        </w:rPr>
      </w:pPr>
      <w:r w:rsidRPr="004E6778">
        <w:rPr>
          <w:rFonts w:cstheme="minorHAnsi"/>
          <w:b/>
        </w:rPr>
        <w:t>Part</w:t>
      </w:r>
      <w:r w:rsidR="00A32BB8">
        <w:rPr>
          <w:rFonts w:cstheme="minorHAnsi"/>
          <w:b/>
        </w:rPr>
        <w:t xml:space="preserve">: </w:t>
      </w:r>
      <w:r w:rsidRPr="004E6778">
        <w:rPr>
          <w:rFonts w:cstheme="minorHAnsi"/>
        </w:rPr>
        <w:t>This column shows the part number for the buyback line.</w:t>
      </w:r>
    </w:p>
    <w:p w:rsidR="00A32BB8" w:rsidRDefault="00A32BB8" w:rsidP="004E6778">
      <w:pPr>
        <w:spacing w:after="0" w:line="240" w:lineRule="auto"/>
        <w:contextualSpacing/>
        <w:rPr>
          <w:rFonts w:cstheme="minorHAnsi"/>
          <w:b/>
        </w:rPr>
      </w:pPr>
    </w:p>
    <w:p w:rsidR="000431A6" w:rsidRPr="00A32BB8" w:rsidRDefault="000431A6" w:rsidP="004E6778">
      <w:pPr>
        <w:spacing w:after="0" w:line="240" w:lineRule="auto"/>
        <w:contextualSpacing/>
        <w:rPr>
          <w:rFonts w:cstheme="minorHAnsi"/>
          <w:b/>
        </w:rPr>
      </w:pPr>
      <w:r w:rsidRPr="004E6778">
        <w:rPr>
          <w:rFonts w:cstheme="minorHAnsi"/>
          <w:b/>
        </w:rPr>
        <w:t>Quantity</w:t>
      </w:r>
      <w:r w:rsidR="00A32BB8">
        <w:rPr>
          <w:rFonts w:cstheme="minorHAnsi"/>
          <w:b/>
        </w:rPr>
        <w:t xml:space="preserve">: </w:t>
      </w:r>
      <w:r w:rsidRPr="004E6778">
        <w:rPr>
          <w:rFonts w:cstheme="minorHAnsi"/>
        </w:rPr>
        <w:t>This column shows the part quantity for the buyback line.</w:t>
      </w:r>
    </w:p>
    <w:p w:rsidR="00A32BB8" w:rsidRDefault="00A32BB8" w:rsidP="004E6778">
      <w:pPr>
        <w:spacing w:after="0" w:line="240" w:lineRule="auto"/>
        <w:contextualSpacing/>
        <w:rPr>
          <w:rFonts w:cstheme="minorHAnsi"/>
          <w:b/>
        </w:rPr>
      </w:pPr>
    </w:p>
    <w:p w:rsidR="000431A6" w:rsidRPr="00A32BB8" w:rsidRDefault="000431A6" w:rsidP="004E6778">
      <w:pPr>
        <w:spacing w:after="0" w:line="240" w:lineRule="auto"/>
        <w:contextualSpacing/>
        <w:rPr>
          <w:rFonts w:cstheme="minorHAnsi"/>
          <w:b/>
        </w:rPr>
      </w:pPr>
      <w:r w:rsidRPr="004E6778">
        <w:rPr>
          <w:rFonts w:cstheme="minorHAnsi"/>
          <w:b/>
        </w:rPr>
        <w:t>Bin Location</w:t>
      </w:r>
      <w:r w:rsidR="00A32BB8">
        <w:rPr>
          <w:rFonts w:cstheme="minorHAnsi"/>
          <w:b/>
        </w:rPr>
        <w:t xml:space="preserve">: </w:t>
      </w:r>
      <w:r w:rsidRPr="004E6778">
        <w:rPr>
          <w:rFonts w:cstheme="minorHAnsi"/>
        </w:rPr>
        <w:t>This column shows the bin location for the part on the buyback line.</w:t>
      </w:r>
    </w:p>
    <w:p w:rsidR="00A32BB8" w:rsidRDefault="00A32BB8" w:rsidP="004E6778">
      <w:pPr>
        <w:spacing w:after="0" w:line="240" w:lineRule="auto"/>
        <w:contextualSpacing/>
        <w:rPr>
          <w:rFonts w:cstheme="minorHAnsi"/>
          <w:b/>
        </w:rPr>
      </w:pPr>
    </w:p>
    <w:p w:rsidR="000431A6" w:rsidRPr="00A32BB8" w:rsidRDefault="000431A6" w:rsidP="004E6778">
      <w:pPr>
        <w:spacing w:after="0" w:line="240" w:lineRule="auto"/>
        <w:contextualSpacing/>
        <w:rPr>
          <w:rFonts w:cstheme="minorHAnsi"/>
          <w:b/>
        </w:rPr>
      </w:pPr>
      <w:r w:rsidRPr="004E6778">
        <w:rPr>
          <w:rFonts w:cstheme="minorHAnsi"/>
          <w:b/>
        </w:rPr>
        <w:t>Blocking Message</w:t>
      </w:r>
      <w:r w:rsidR="00A32BB8">
        <w:rPr>
          <w:rFonts w:cstheme="minorHAnsi"/>
          <w:b/>
        </w:rPr>
        <w:t xml:space="preserve">: </w:t>
      </w:r>
      <w:r w:rsidRPr="004E6778">
        <w:rPr>
          <w:rFonts w:cstheme="minorHAnsi"/>
        </w:rPr>
        <w:t>If there is an error blocking a buyback line from being submitted, a blocking message will appear here.</w:t>
      </w:r>
    </w:p>
    <w:p w:rsidR="00A32BB8" w:rsidRDefault="00A32BB8" w:rsidP="004E6778">
      <w:pPr>
        <w:spacing w:after="0" w:line="240" w:lineRule="auto"/>
        <w:contextualSpacing/>
        <w:rPr>
          <w:rFonts w:cstheme="minorHAnsi"/>
          <w:b/>
        </w:rPr>
      </w:pPr>
    </w:p>
    <w:p w:rsidR="000431A6" w:rsidRPr="00A32BB8" w:rsidRDefault="000431A6" w:rsidP="004E6778">
      <w:pPr>
        <w:spacing w:after="0" w:line="240" w:lineRule="auto"/>
        <w:contextualSpacing/>
        <w:rPr>
          <w:rFonts w:cstheme="minorHAnsi"/>
          <w:b/>
        </w:rPr>
      </w:pPr>
      <w:r w:rsidRPr="004E6778">
        <w:rPr>
          <w:rFonts w:cstheme="minorHAnsi"/>
          <w:b/>
        </w:rPr>
        <w:t>Warning Message</w:t>
      </w:r>
      <w:r w:rsidR="00A32BB8">
        <w:rPr>
          <w:rFonts w:cstheme="minorHAnsi"/>
          <w:b/>
        </w:rPr>
        <w:t xml:space="preserve">: </w:t>
      </w:r>
      <w:r w:rsidRPr="004E6778">
        <w:rPr>
          <w:rFonts w:cstheme="minorHAnsi"/>
        </w:rPr>
        <w:t>If there is a warning on a buyback line, a warning message will appear here.</w:t>
      </w:r>
    </w:p>
    <w:p w:rsidR="00A32BB8" w:rsidRDefault="00A32BB8" w:rsidP="004E6778">
      <w:pPr>
        <w:spacing w:after="0" w:line="240" w:lineRule="auto"/>
        <w:contextualSpacing/>
        <w:rPr>
          <w:rFonts w:cstheme="minorHAnsi"/>
          <w:b/>
        </w:rPr>
      </w:pPr>
    </w:p>
    <w:p w:rsidR="000431A6" w:rsidRPr="004E6778" w:rsidRDefault="000431A6" w:rsidP="004E6778">
      <w:pPr>
        <w:spacing w:after="0" w:line="240" w:lineRule="auto"/>
        <w:contextualSpacing/>
        <w:rPr>
          <w:rFonts w:cstheme="minorHAnsi"/>
        </w:rPr>
      </w:pPr>
      <w:r w:rsidRPr="00A32BB8">
        <w:rPr>
          <w:rFonts w:cstheme="minorHAnsi"/>
          <w:u w:val="single"/>
        </w:rPr>
        <w:t>Refresh</w:t>
      </w:r>
      <w:r w:rsidR="00A32BB8">
        <w:rPr>
          <w:rFonts w:cstheme="minorHAnsi"/>
          <w:u w:val="single"/>
        </w:rPr>
        <w:t>:</w:t>
      </w:r>
      <w:r w:rsidR="00A32BB8">
        <w:rPr>
          <w:rFonts w:cstheme="minorHAnsi"/>
        </w:rPr>
        <w:t xml:space="preserve"> </w:t>
      </w:r>
      <w:r w:rsidRPr="004E6778">
        <w:rPr>
          <w:rFonts w:cstheme="minorHAnsi"/>
        </w:rPr>
        <w:t>Click this button to update the buyback details.  Any changes made to the buyback since it was opened in this screen will appear.</w:t>
      </w:r>
    </w:p>
    <w:p w:rsidR="00A32BB8" w:rsidRDefault="00A32BB8" w:rsidP="004E6778">
      <w:pPr>
        <w:spacing w:after="0" w:line="240" w:lineRule="auto"/>
        <w:contextualSpacing/>
        <w:rPr>
          <w:rFonts w:cstheme="minorHAnsi"/>
          <w:b/>
        </w:rPr>
      </w:pPr>
    </w:p>
    <w:p w:rsidR="000431A6" w:rsidRPr="004E6778" w:rsidRDefault="000431A6" w:rsidP="004E6778">
      <w:pPr>
        <w:spacing w:after="0" w:line="240" w:lineRule="auto"/>
        <w:contextualSpacing/>
        <w:rPr>
          <w:rFonts w:cstheme="minorHAnsi"/>
        </w:rPr>
      </w:pPr>
      <w:r w:rsidRPr="00A32BB8">
        <w:rPr>
          <w:rFonts w:cstheme="minorHAnsi"/>
          <w:u w:val="single"/>
        </w:rPr>
        <w:t>Verify</w:t>
      </w:r>
      <w:r w:rsidR="00A32BB8">
        <w:rPr>
          <w:rFonts w:cstheme="minorHAnsi"/>
          <w:u w:val="single"/>
        </w:rPr>
        <w:t>:</w:t>
      </w:r>
      <w:r w:rsidR="00A32BB8">
        <w:rPr>
          <w:rFonts w:cstheme="minorHAnsi"/>
        </w:rPr>
        <w:t xml:space="preserve"> </w:t>
      </w:r>
      <w:r w:rsidRPr="004E6778">
        <w:rPr>
          <w:rFonts w:cstheme="minorHAnsi"/>
        </w:rPr>
        <w:t>Click this button to re-send the buyback for verification</w:t>
      </w:r>
      <w:r w:rsidR="00306C25" w:rsidRPr="004E6778">
        <w:rPr>
          <w:rFonts w:cstheme="minorHAnsi"/>
        </w:rPr>
        <w:t>.  We recommend this particularly after you have corrected any blockers on the buyback to make sure that the blocking messages have been removed.</w:t>
      </w:r>
    </w:p>
    <w:p w:rsidR="00A32BB8" w:rsidRDefault="00A32BB8" w:rsidP="004E6778">
      <w:pPr>
        <w:spacing w:after="0" w:line="240" w:lineRule="auto"/>
        <w:contextualSpacing/>
        <w:rPr>
          <w:rFonts w:cstheme="minorHAnsi"/>
          <w:b/>
        </w:rPr>
      </w:pPr>
    </w:p>
    <w:p w:rsidR="00306C25" w:rsidRPr="004E6778" w:rsidRDefault="000431A6" w:rsidP="004E6778">
      <w:pPr>
        <w:spacing w:after="0" w:line="240" w:lineRule="auto"/>
        <w:contextualSpacing/>
        <w:rPr>
          <w:rFonts w:cstheme="minorHAnsi"/>
        </w:rPr>
      </w:pPr>
      <w:r w:rsidRPr="00A32BB8">
        <w:rPr>
          <w:rFonts w:cstheme="minorHAnsi"/>
          <w:u w:val="single"/>
        </w:rPr>
        <w:t>Submit</w:t>
      </w:r>
      <w:r w:rsidR="00A32BB8">
        <w:rPr>
          <w:rFonts w:cstheme="minorHAnsi"/>
          <w:u w:val="single"/>
        </w:rPr>
        <w:t>:</w:t>
      </w:r>
      <w:r w:rsidR="00A32BB8">
        <w:rPr>
          <w:rFonts w:cstheme="minorHAnsi"/>
        </w:rPr>
        <w:t xml:space="preserve"> </w:t>
      </w:r>
      <w:r w:rsidR="00306C25" w:rsidRPr="004E6778">
        <w:rPr>
          <w:rFonts w:cstheme="minorHAnsi"/>
        </w:rPr>
        <w:t>Click this button to submit the buyback to CNH for processing.</w:t>
      </w:r>
    </w:p>
    <w:p w:rsidR="00A32BB8" w:rsidRDefault="00A32BB8" w:rsidP="004E6778">
      <w:pPr>
        <w:spacing w:after="0" w:line="240" w:lineRule="auto"/>
        <w:contextualSpacing/>
        <w:rPr>
          <w:rFonts w:cstheme="minorHAnsi"/>
          <w:b/>
        </w:rPr>
      </w:pPr>
    </w:p>
    <w:p w:rsidR="00A32BB8" w:rsidRDefault="000431A6" w:rsidP="002A5B28">
      <w:pPr>
        <w:spacing w:after="0" w:line="240" w:lineRule="auto"/>
        <w:contextualSpacing/>
        <w:rPr>
          <w:rFonts w:cstheme="minorHAnsi"/>
        </w:rPr>
      </w:pPr>
      <w:r w:rsidRPr="00A32BB8">
        <w:rPr>
          <w:rFonts w:cstheme="minorHAnsi"/>
          <w:u w:val="single"/>
        </w:rPr>
        <w:t>Cancel Buyback</w:t>
      </w:r>
      <w:r w:rsidR="00A32BB8">
        <w:rPr>
          <w:rFonts w:cstheme="minorHAnsi"/>
          <w:u w:val="single"/>
        </w:rPr>
        <w:t>:</w:t>
      </w:r>
      <w:r w:rsidR="00A32BB8">
        <w:rPr>
          <w:rFonts w:cstheme="minorHAnsi"/>
        </w:rPr>
        <w:t xml:space="preserve"> </w:t>
      </w:r>
      <w:r w:rsidR="002A5B28" w:rsidRPr="002A5B28">
        <w:rPr>
          <w:rFonts w:cstheme="minorHAnsi"/>
        </w:rPr>
        <w:t>Click this button to cancel the buyback's simulated status, which will cause the</w:t>
      </w:r>
      <w:r w:rsidR="002A5B28">
        <w:rPr>
          <w:rFonts w:cstheme="minorHAnsi"/>
        </w:rPr>
        <w:t xml:space="preserve"> </w:t>
      </w:r>
      <w:bookmarkStart w:id="0" w:name="_GoBack"/>
      <w:bookmarkEnd w:id="0"/>
      <w:r w:rsidR="002A5B28" w:rsidRPr="002A5B28">
        <w:rPr>
          <w:rFonts w:cstheme="minorHAnsi"/>
        </w:rPr>
        <w:t>system to treat the buyback as though you never simulated it in the first place.</w:t>
      </w:r>
    </w:p>
    <w:p w:rsidR="002A5B28" w:rsidRDefault="002A5B28" w:rsidP="002A5B28">
      <w:pPr>
        <w:spacing w:after="0" w:line="240" w:lineRule="auto"/>
        <w:contextualSpacing/>
        <w:rPr>
          <w:rFonts w:cstheme="minorHAnsi"/>
          <w:b/>
        </w:rPr>
      </w:pPr>
    </w:p>
    <w:p w:rsidR="000431A6" w:rsidRPr="004E6778" w:rsidRDefault="000431A6" w:rsidP="004E6778">
      <w:pPr>
        <w:spacing w:after="0" w:line="240" w:lineRule="auto"/>
        <w:contextualSpacing/>
        <w:rPr>
          <w:rFonts w:cstheme="minorHAnsi"/>
        </w:rPr>
      </w:pPr>
      <w:r w:rsidRPr="00A32BB8">
        <w:rPr>
          <w:rFonts w:cstheme="minorHAnsi"/>
          <w:u w:val="single"/>
        </w:rPr>
        <w:t>Close</w:t>
      </w:r>
      <w:r w:rsidR="00A32BB8">
        <w:rPr>
          <w:rFonts w:cstheme="minorHAnsi"/>
          <w:u w:val="single"/>
        </w:rPr>
        <w:t>:</w:t>
      </w:r>
      <w:r w:rsidR="00A32BB8">
        <w:rPr>
          <w:rFonts w:cstheme="minorHAnsi"/>
        </w:rPr>
        <w:t xml:space="preserve"> </w:t>
      </w:r>
      <w:r w:rsidRPr="004E6778">
        <w:rPr>
          <w:rFonts w:cstheme="minorHAnsi"/>
        </w:rPr>
        <w:t>Click this button to close the screen.</w:t>
      </w:r>
    </w:p>
    <w:sectPr w:rsidR="000431A6" w:rsidRPr="004E677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1A6" w:rsidRDefault="000431A6" w:rsidP="007A1138">
      <w:pPr>
        <w:spacing w:after="0" w:line="240" w:lineRule="auto"/>
      </w:pPr>
      <w:r>
        <w:separator/>
      </w:r>
    </w:p>
  </w:endnote>
  <w:endnote w:type="continuationSeparator" w:id="0">
    <w:p w:rsidR="000431A6" w:rsidRDefault="000431A6" w:rsidP="007A1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1A6" w:rsidRPr="007A1138" w:rsidRDefault="000431A6" w:rsidP="007A1138">
    <w:pPr>
      <w:spacing w:after="0"/>
      <w:rPr>
        <w:rFonts w:ascii="Verdana" w:hAnsi="Verdana" w:cs="Arial"/>
        <w:sz w:val="24"/>
        <w:szCs w:val="24"/>
      </w:rPr>
    </w:pPr>
    <w:r>
      <w:rPr>
        <w:rFonts w:ascii="Verdana" w:hAnsi="Verdana" w:cs="Arial"/>
        <w:i/>
        <w:sz w:val="16"/>
        <w:szCs w:val="16"/>
      </w:rPr>
      <w:t>NVCSPS21-OB</w:t>
    </w:r>
    <w:r w:rsidRPr="007A1138">
      <w:rPr>
        <w:rFonts w:ascii="Verdana" w:hAnsi="Verdana" w:cs="Arial"/>
        <w:i/>
        <w:sz w:val="16"/>
        <w:szCs w:val="16"/>
      </w:rPr>
      <w:t xml:space="preserve"> </w:t>
    </w:r>
    <w:r w:rsidRPr="007A1138">
      <w:rPr>
        <w:rFonts w:ascii="Verdana" w:hAnsi="Verdana" w:cs="Arial"/>
        <w:i/>
        <w:sz w:val="16"/>
      </w:rPr>
      <w:t>1</w:t>
    </w:r>
    <w:r>
      <w:rPr>
        <w:rFonts w:ascii="Verdana" w:hAnsi="Verdana" w:cs="Arial"/>
        <w:i/>
        <w:sz w:val="16"/>
      </w:rPr>
      <w:t>2</w:t>
    </w:r>
    <w:r w:rsidRPr="007A1138">
      <w:rPr>
        <w:rFonts w:ascii="Verdana" w:hAnsi="Verdana" w:cs="Arial"/>
        <w:i/>
        <w:sz w:val="16"/>
      </w:rPr>
      <w:t>/01/2017</w:t>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sidRPr="007A1138">
      <w:rPr>
        <w:rFonts w:ascii="Verdana" w:hAnsi="Verdana" w:cs="Arial"/>
        <w:i/>
        <w:sz w:val="20"/>
        <w:szCs w:val="20"/>
      </w:rPr>
      <w:tab/>
    </w:r>
    <w:r>
      <w:rPr>
        <w:rFonts w:ascii="Verdana" w:hAnsi="Verdana" w:cs="Arial"/>
        <w:i/>
        <w:sz w:val="20"/>
        <w:szCs w:val="20"/>
      </w:rPr>
      <w:tab/>
    </w:r>
    <w:r>
      <w:rPr>
        <w:rFonts w:ascii="Verdana" w:hAnsi="Verdana" w:cs="Arial"/>
        <w:b/>
        <w:sz w:val="24"/>
        <w:szCs w:val="24"/>
      </w:rPr>
      <w:t>21</w:t>
    </w:r>
    <w:r w:rsidRPr="007A1138">
      <w:rPr>
        <w:rFonts w:ascii="Verdana" w:hAnsi="Verdana" w:cs="Arial"/>
        <w:b/>
        <w:sz w:val="24"/>
        <w:szCs w:val="24"/>
      </w:rPr>
      <w:t>:</w:t>
    </w:r>
    <w:r w:rsidRPr="007A1138">
      <w:rPr>
        <w:rFonts w:ascii="Verdana" w:hAnsi="Verdana" w:cs="Arial"/>
        <w:b/>
        <w:sz w:val="24"/>
        <w:szCs w:val="24"/>
      </w:rPr>
      <w:fldChar w:fldCharType="begin"/>
    </w:r>
    <w:r w:rsidRPr="007A1138">
      <w:rPr>
        <w:rFonts w:ascii="Verdana" w:hAnsi="Verdana" w:cs="Arial"/>
        <w:b/>
        <w:sz w:val="24"/>
        <w:szCs w:val="24"/>
      </w:rPr>
      <w:instrText xml:space="preserve"> PAGE </w:instrText>
    </w:r>
    <w:r w:rsidRPr="007A1138">
      <w:rPr>
        <w:rFonts w:ascii="Verdana" w:hAnsi="Verdana" w:cs="Arial"/>
        <w:b/>
        <w:sz w:val="24"/>
        <w:szCs w:val="24"/>
      </w:rPr>
      <w:fldChar w:fldCharType="separate"/>
    </w:r>
    <w:r w:rsidR="002A5B28">
      <w:rPr>
        <w:rFonts w:ascii="Verdana" w:hAnsi="Verdana" w:cs="Arial"/>
        <w:b/>
        <w:noProof/>
        <w:sz w:val="24"/>
        <w:szCs w:val="24"/>
      </w:rPr>
      <w:t>3</w:t>
    </w:r>
    <w:r w:rsidRPr="007A1138">
      <w:rPr>
        <w:rFonts w:ascii="Verdana" w:hAnsi="Verdana" w:cs="Arial"/>
        <w:b/>
        <w:sz w:val="24"/>
        <w:szCs w:val="24"/>
      </w:rPr>
      <w:fldChar w:fldCharType="end"/>
    </w:r>
  </w:p>
  <w:p w:rsidR="000431A6" w:rsidRPr="007A1138" w:rsidRDefault="000431A6" w:rsidP="007A1138">
    <w:pPr>
      <w:spacing w:after="0"/>
      <w:rPr>
        <w:rFonts w:ascii="Verdana" w:hAnsi="Verdana"/>
        <w:i/>
        <w:sz w:val="20"/>
        <w:szCs w:val="20"/>
      </w:rPr>
    </w:pPr>
    <w:r w:rsidRPr="007A1138">
      <w:rPr>
        <w:rFonts w:ascii="Verdana" w:hAnsi="Verdana"/>
        <w:b/>
        <w:sz w:val="20"/>
        <w:szCs w:val="20"/>
      </w:rPr>
      <w:t>HBS Systems</w:t>
    </w:r>
    <w:r w:rsidRPr="007A1138">
      <w:rPr>
        <w:rFonts w:ascii="Verdana" w:hAnsi="Verdana"/>
        <w:b/>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sidRPr="007A1138">
      <w:rPr>
        <w:rFonts w:ascii="Verdana" w:hAnsi="Verdana"/>
        <w:sz w:val="20"/>
        <w:szCs w:val="20"/>
      </w:rPr>
      <w:tab/>
    </w:r>
    <w:r>
      <w:rPr>
        <w:rFonts w:ascii="Verdana" w:hAnsi="Verdana"/>
        <w:sz w:val="20"/>
        <w:szCs w:val="20"/>
      </w:rPr>
      <w:tab/>
    </w:r>
    <w:r>
      <w:rPr>
        <w:rFonts w:ascii="Verdana" w:hAnsi="Verdana"/>
        <w:i/>
        <w:sz w:val="20"/>
        <w:szCs w:val="20"/>
      </w:rPr>
      <w:tab/>
      <w:t>CSPS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1A6" w:rsidRDefault="000431A6" w:rsidP="007A1138">
      <w:pPr>
        <w:spacing w:after="0" w:line="240" w:lineRule="auto"/>
      </w:pPr>
      <w:r>
        <w:separator/>
      </w:r>
    </w:p>
  </w:footnote>
  <w:footnote w:type="continuationSeparator" w:id="0">
    <w:p w:rsidR="000431A6" w:rsidRDefault="000431A6" w:rsidP="007A1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31A6" w:rsidRPr="007A1138" w:rsidRDefault="000431A6" w:rsidP="007A1138">
    <w:pPr>
      <w:pStyle w:val="Header"/>
      <w:rPr>
        <w:rFonts w:ascii="Verdana" w:hAnsi="Verdana"/>
        <w:i/>
        <w:sz w:val="20"/>
        <w:szCs w:val="20"/>
      </w:rPr>
    </w:pPr>
    <w:r>
      <w:rPr>
        <w:rFonts w:ascii="Verdana" w:hAnsi="Verdana"/>
        <w:b/>
        <w:i/>
        <w:sz w:val="20"/>
        <w:szCs w:val="20"/>
      </w:rPr>
      <w:t>HBS Open Buybacks</w:t>
    </w:r>
    <w:r w:rsidRPr="007A1138">
      <w:rPr>
        <w:rFonts w:ascii="Verdana" w:hAnsi="Verdana"/>
        <w:i/>
        <w:sz w:val="20"/>
        <w:szCs w:val="20"/>
      </w:rPr>
      <w:tab/>
    </w:r>
    <w:r w:rsidRPr="007A1138">
      <w:rPr>
        <w:rFonts w:ascii="Verdana" w:hAnsi="Verdana"/>
        <w:i/>
        <w:sz w:val="20"/>
        <w:szCs w:val="20"/>
      </w:rPr>
      <w:tab/>
      <w:t>CNH Connect</w:t>
    </w:r>
  </w:p>
  <w:p w:rsidR="000431A6" w:rsidRPr="007A1138" w:rsidRDefault="000431A6">
    <w:pPr>
      <w:pStyle w:val="Header"/>
      <w:rPr>
        <w:rFonts w:ascii="Verdana" w:hAnsi="Verdana"/>
        <w:i/>
        <w:sz w:val="20"/>
        <w:szCs w:val="20"/>
      </w:rPr>
    </w:pPr>
    <w:r w:rsidRPr="007A1138">
      <w:rPr>
        <w:rFonts w:ascii="Verdana" w:hAnsi="Verdana"/>
        <w:i/>
        <w:sz w:val="20"/>
        <w:szCs w:val="20"/>
      </w:rPr>
      <w:t>Netview</w:t>
    </w:r>
  </w:p>
  <w:p w:rsidR="000431A6" w:rsidRPr="007A1138" w:rsidRDefault="000431A6">
    <w:pPr>
      <w:pStyle w:val="Header"/>
      <w:rPr>
        <w:rFonts w:ascii="Verdana" w:hAnsi="Verdan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D92"/>
    <w:multiLevelType w:val="hybridMultilevel"/>
    <w:tmpl w:val="ACAA8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A0320E"/>
    <w:multiLevelType w:val="hybridMultilevel"/>
    <w:tmpl w:val="FD48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138"/>
    <w:rsid w:val="000431A6"/>
    <w:rsid w:val="000714D8"/>
    <w:rsid w:val="000C3BD0"/>
    <w:rsid w:val="000D4D03"/>
    <w:rsid w:val="001428C0"/>
    <w:rsid w:val="00181AAA"/>
    <w:rsid w:val="001A2A5D"/>
    <w:rsid w:val="001C3C50"/>
    <w:rsid w:val="001E5BDF"/>
    <w:rsid w:val="0025004C"/>
    <w:rsid w:val="002702EE"/>
    <w:rsid w:val="00276BAA"/>
    <w:rsid w:val="002A5B28"/>
    <w:rsid w:val="00306C25"/>
    <w:rsid w:val="00381AA8"/>
    <w:rsid w:val="0039789E"/>
    <w:rsid w:val="003E2E62"/>
    <w:rsid w:val="00427FB3"/>
    <w:rsid w:val="00446755"/>
    <w:rsid w:val="004E6778"/>
    <w:rsid w:val="00537605"/>
    <w:rsid w:val="00565694"/>
    <w:rsid w:val="00592724"/>
    <w:rsid w:val="005C0745"/>
    <w:rsid w:val="006240F9"/>
    <w:rsid w:val="006D491D"/>
    <w:rsid w:val="006F39B2"/>
    <w:rsid w:val="00716C46"/>
    <w:rsid w:val="00726BDB"/>
    <w:rsid w:val="007A1138"/>
    <w:rsid w:val="00807CD1"/>
    <w:rsid w:val="008160FF"/>
    <w:rsid w:val="00850082"/>
    <w:rsid w:val="008B134C"/>
    <w:rsid w:val="00913ED4"/>
    <w:rsid w:val="00975B58"/>
    <w:rsid w:val="00996BB0"/>
    <w:rsid w:val="009A391F"/>
    <w:rsid w:val="009F16D6"/>
    <w:rsid w:val="00A32BB8"/>
    <w:rsid w:val="00AE7B86"/>
    <w:rsid w:val="00AF4435"/>
    <w:rsid w:val="00B41C21"/>
    <w:rsid w:val="00B54194"/>
    <w:rsid w:val="00BD6208"/>
    <w:rsid w:val="00CD613B"/>
    <w:rsid w:val="00D245AC"/>
    <w:rsid w:val="00D3344C"/>
    <w:rsid w:val="00D73637"/>
    <w:rsid w:val="00DA1E68"/>
    <w:rsid w:val="00DC23C1"/>
    <w:rsid w:val="00DD10F7"/>
    <w:rsid w:val="00E33D57"/>
    <w:rsid w:val="00ED50C9"/>
    <w:rsid w:val="00F11E80"/>
    <w:rsid w:val="00F43789"/>
    <w:rsid w:val="00F71DCD"/>
    <w:rsid w:val="00F814F7"/>
    <w:rsid w:val="00F960B5"/>
    <w:rsid w:val="00FD0A18"/>
    <w:rsid w:val="00FD1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48CFF"/>
  <w15:chartTrackingRefBased/>
  <w15:docId w15:val="{9D1C4046-98F9-446A-AB91-AD5A8538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A1138"/>
    <w:pPr>
      <w:tabs>
        <w:tab w:val="center" w:pos="4680"/>
        <w:tab w:val="right" w:pos="9360"/>
      </w:tabs>
      <w:spacing w:after="0" w:line="240" w:lineRule="auto"/>
    </w:pPr>
  </w:style>
  <w:style w:type="character" w:customStyle="1" w:styleId="HeaderChar">
    <w:name w:val="Header Char"/>
    <w:basedOn w:val="DefaultParagraphFont"/>
    <w:link w:val="Header"/>
    <w:rsid w:val="007A1138"/>
  </w:style>
  <w:style w:type="paragraph" w:styleId="Footer">
    <w:name w:val="footer"/>
    <w:basedOn w:val="Normal"/>
    <w:link w:val="FooterChar"/>
    <w:uiPriority w:val="99"/>
    <w:unhideWhenUsed/>
    <w:rsid w:val="007A11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138"/>
  </w:style>
  <w:style w:type="character" w:styleId="PageNumber">
    <w:name w:val="page number"/>
    <w:rsid w:val="007A1138"/>
    <w:rPr>
      <w:rFonts w:ascii="Verdana" w:hAnsi="Verdana"/>
      <w:b/>
      <w:dstrike w:val="0"/>
      <w:sz w:val="20"/>
      <w:vertAlign w:val="baseline"/>
    </w:rPr>
  </w:style>
  <w:style w:type="paragraph" w:styleId="ListParagraph">
    <w:name w:val="List Paragraph"/>
    <w:basedOn w:val="Normal"/>
    <w:uiPriority w:val="34"/>
    <w:qFormat/>
    <w:rsid w:val="00AE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4</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HBS Systems</dc:creator>
  <cp:keywords/>
  <dc:description/>
  <cp:lastModifiedBy>HBS Systems</cp:lastModifiedBy>
  <cp:revision>5</cp:revision>
  <dcterms:created xsi:type="dcterms:W3CDTF">2017-12-07T22:24:00Z</dcterms:created>
  <dcterms:modified xsi:type="dcterms:W3CDTF">2017-12-14T22:07:00Z</dcterms:modified>
</cp:coreProperties>
</file>