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CDD26" w14:textId="0A0CE056" w:rsidR="00EC0682" w:rsidRPr="00EC0682" w:rsidRDefault="00EC0682" w:rsidP="00EC0682">
      <w:pPr>
        <w:pStyle w:val="BodyText"/>
        <w:contextualSpacing/>
        <w:jc w:val="left"/>
        <w:rPr>
          <w:rFonts w:ascii="Calibri" w:hAnsi="Calibri"/>
          <w:noProof/>
          <w:sz w:val="36"/>
          <w:szCs w:val="36"/>
          <w:u w:val="single"/>
        </w:rPr>
      </w:pPr>
      <w:r>
        <w:rPr>
          <w:rFonts w:ascii="Calibri" w:hAnsi="Calibri"/>
          <w:noProof/>
          <w:sz w:val="36"/>
          <w:szCs w:val="36"/>
          <w:u w:val="single"/>
        </w:rPr>
        <w:t>Accounting Documents Pre-Journal Report (DRAD)</w:t>
      </w:r>
    </w:p>
    <w:p w14:paraId="67A7BCE2" w14:textId="77777777" w:rsidR="00EC0682" w:rsidRPr="00F64F43" w:rsidRDefault="00EC0682" w:rsidP="00EC0682">
      <w:pPr>
        <w:pStyle w:val="BodyText"/>
        <w:contextualSpacing/>
        <w:jc w:val="left"/>
        <w:rPr>
          <w:rFonts w:asciiTheme="minorHAnsi" w:hAnsiTheme="minorHAnsi" w:cstheme="minorHAnsi"/>
          <w:noProof/>
          <w:sz w:val="24"/>
        </w:rPr>
      </w:pPr>
    </w:p>
    <w:p w14:paraId="6D74DF0A" w14:textId="019F2D64" w:rsidR="00EC0682" w:rsidRDefault="00EC0682" w:rsidP="00EC0682">
      <w:pPr>
        <w:pStyle w:val="Body"/>
        <w:spacing w:before="0"/>
        <w:contextualSpacing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14:ligatures w14:val="standardContextual"/>
        </w:rPr>
        <w:drawing>
          <wp:inline distT="0" distB="0" distL="0" distR="0" wp14:anchorId="529CF70C" wp14:editId="18745E9E">
            <wp:extent cx="5486400" cy="2580005"/>
            <wp:effectExtent l="0" t="0" r="0" b="0"/>
            <wp:docPr id="11509763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76355" name="Picture 11509763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BA3D" w14:textId="77777777" w:rsidR="00EC0682" w:rsidRPr="00F64F43" w:rsidRDefault="00EC0682" w:rsidP="00EC0682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4"/>
        </w:rPr>
      </w:pPr>
    </w:p>
    <w:p w14:paraId="672861FC" w14:textId="2EDFC4A0" w:rsidR="00EC0682" w:rsidRDefault="00EC0682" w:rsidP="00EC0682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4"/>
        </w:rPr>
      </w:pPr>
      <w:r w:rsidRPr="00EC0682">
        <w:rPr>
          <w:rFonts w:asciiTheme="minorHAnsi" w:hAnsiTheme="minorHAnsi" w:cstheme="minorHAnsi"/>
          <w:sz w:val="24"/>
        </w:rPr>
        <w:t>Accounting Documents Pre-Journal (DRAD) lets you print proof sheets of unposted A/R</w:t>
      </w:r>
      <w:r w:rsidR="00B250C4">
        <w:rPr>
          <w:rFonts w:asciiTheme="minorHAnsi" w:hAnsiTheme="minorHAnsi" w:cstheme="minorHAnsi"/>
          <w:sz w:val="24"/>
        </w:rPr>
        <w:t xml:space="preserve"> and G/L </w:t>
      </w:r>
      <w:r w:rsidRPr="00EC0682">
        <w:rPr>
          <w:rFonts w:asciiTheme="minorHAnsi" w:hAnsiTheme="minorHAnsi" w:cstheme="minorHAnsi"/>
          <w:sz w:val="24"/>
        </w:rPr>
        <w:t xml:space="preserve">accounting transactions before posting them to the appropriate Journals. In this way it is similar to running a “memo” report in that it previews the accounting, but does not actually perform it. You can edit any documents listed in a proof sheet up to the point when you post the documents to Journals. </w:t>
      </w:r>
      <w:r w:rsidRPr="00EC0682">
        <w:rPr>
          <w:rFonts w:asciiTheme="minorHAnsi" w:hAnsiTheme="minorHAnsi" w:cstheme="minorHAnsi"/>
          <w:b/>
          <w:bCs/>
          <w:sz w:val="24"/>
        </w:rPr>
        <w:t xml:space="preserve">NOTE: </w:t>
      </w:r>
      <w:r w:rsidRPr="00EC0682">
        <w:rPr>
          <w:rFonts w:asciiTheme="minorHAnsi" w:hAnsiTheme="minorHAnsi" w:cstheme="minorHAnsi"/>
          <w:sz w:val="24"/>
        </w:rPr>
        <w:t xml:space="preserve">To have data for this report, there will need to be </w:t>
      </w:r>
      <w:r w:rsidRPr="00EC0682">
        <w:rPr>
          <w:rFonts w:asciiTheme="minorHAnsi" w:hAnsiTheme="minorHAnsi" w:cstheme="minorHAnsi"/>
          <w:b/>
          <w:bCs/>
          <w:sz w:val="24"/>
        </w:rPr>
        <w:t xml:space="preserve">unposted </w:t>
      </w:r>
      <w:r w:rsidRPr="00EC0682">
        <w:rPr>
          <w:rFonts w:asciiTheme="minorHAnsi" w:hAnsiTheme="minorHAnsi" w:cstheme="minorHAnsi"/>
          <w:sz w:val="24"/>
        </w:rPr>
        <w:t>A/R</w:t>
      </w:r>
      <w:r w:rsidR="002F570F">
        <w:rPr>
          <w:rFonts w:asciiTheme="minorHAnsi" w:hAnsiTheme="minorHAnsi" w:cstheme="minorHAnsi"/>
          <w:sz w:val="24"/>
        </w:rPr>
        <w:t xml:space="preserve"> and G/L</w:t>
      </w:r>
      <w:r w:rsidRPr="00EC0682">
        <w:rPr>
          <w:rFonts w:asciiTheme="minorHAnsi" w:hAnsiTheme="minorHAnsi" w:cstheme="minorHAnsi"/>
          <w:sz w:val="24"/>
        </w:rPr>
        <w:t xml:space="preserve"> accounting documents waiting to be Journaled.</w:t>
      </w:r>
    </w:p>
    <w:p w14:paraId="316AC81B" w14:textId="77777777" w:rsidR="00EC0682" w:rsidRDefault="00EC0682" w:rsidP="00EC0682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4"/>
        </w:rPr>
      </w:pPr>
    </w:p>
    <w:p w14:paraId="379D817D" w14:textId="1343F716" w:rsidR="00EC0682" w:rsidRPr="00F64F43" w:rsidRDefault="00EC0682" w:rsidP="00EC0682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4"/>
        </w:rPr>
      </w:pPr>
      <w:r w:rsidRPr="00F64F43">
        <w:rPr>
          <w:rFonts w:asciiTheme="minorHAnsi" w:hAnsiTheme="minorHAnsi" w:cstheme="minorHAnsi"/>
          <w:sz w:val="24"/>
        </w:rPr>
        <w:t xml:space="preserve">To access this function, either: </w:t>
      </w:r>
    </w:p>
    <w:p w14:paraId="307D5FD1" w14:textId="77777777" w:rsidR="00EC0682" w:rsidRPr="00F64F43" w:rsidRDefault="00EC0682" w:rsidP="00EC0682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4"/>
        </w:rPr>
      </w:pPr>
    </w:p>
    <w:p w14:paraId="54D1B2BC" w14:textId="1E909F61" w:rsidR="00EC0682" w:rsidRPr="00F64F43" w:rsidRDefault="00EC0682" w:rsidP="00EC0682">
      <w:pPr>
        <w:pStyle w:val="Body"/>
        <w:numPr>
          <w:ilvl w:val="0"/>
          <w:numId w:val="3"/>
        </w:numPr>
        <w:spacing w:before="0"/>
        <w:contextualSpacing/>
        <w:jc w:val="left"/>
        <w:rPr>
          <w:rFonts w:asciiTheme="minorHAnsi" w:hAnsiTheme="minorHAnsi" w:cstheme="minorHAnsi"/>
          <w:sz w:val="24"/>
        </w:rPr>
      </w:pPr>
      <w:r w:rsidRPr="00F64F43">
        <w:rPr>
          <w:rFonts w:asciiTheme="minorHAnsi" w:hAnsiTheme="minorHAnsi" w:cstheme="minorHAnsi"/>
          <w:sz w:val="24"/>
        </w:rPr>
        <w:t>Select “</w:t>
      </w:r>
      <w:r w:rsidR="00136FCE">
        <w:rPr>
          <w:rFonts w:asciiTheme="minorHAnsi" w:hAnsiTheme="minorHAnsi" w:cstheme="minorHAnsi"/>
          <w:sz w:val="24"/>
        </w:rPr>
        <w:t>System Maintenance</w:t>
      </w:r>
      <w:r w:rsidRPr="00F64F43">
        <w:rPr>
          <w:rFonts w:asciiTheme="minorHAnsi" w:hAnsiTheme="minorHAnsi" w:cstheme="minorHAnsi"/>
          <w:sz w:val="24"/>
        </w:rPr>
        <w:t>” from the menu</w:t>
      </w:r>
      <w:r w:rsidR="00136FCE">
        <w:rPr>
          <w:rFonts w:asciiTheme="minorHAnsi" w:hAnsiTheme="minorHAnsi" w:cstheme="minorHAnsi"/>
          <w:sz w:val="24"/>
        </w:rPr>
        <w:t xml:space="preserve"> and open the “Data File Review” submenu</w:t>
      </w:r>
      <w:r w:rsidRPr="00F64F43">
        <w:rPr>
          <w:rFonts w:asciiTheme="minorHAnsi" w:hAnsiTheme="minorHAnsi" w:cstheme="minorHAnsi"/>
          <w:sz w:val="24"/>
        </w:rPr>
        <w:t>.  Choose the “</w:t>
      </w:r>
      <w:r w:rsidR="00136FCE">
        <w:rPr>
          <w:rFonts w:asciiTheme="minorHAnsi" w:hAnsiTheme="minorHAnsi" w:cstheme="minorHAnsi"/>
          <w:sz w:val="24"/>
        </w:rPr>
        <w:t>Accounts Receivable</w:t>
      </w:r>
      <w:r w:rsidRPr="00F64F43">
        <w:rPr>
          <w:rFonts w:asciiTheme="minorHAnsi" w:hAnsiTheme="minorHAnsi" w:cstheme="minorHAnsi"/>
          <w:sz w:val="24"/>
        </w:rPr>
        <w:t>” submenu</w:t>
      </w:r>
      <w:r w:rsidR="00136FCE">
        <w:rPr>
          <w:rFonts w:asciiTheme="minorHAnsi" w:hAnsiTheme="minorHAnsi" w:cstheme="minorHAnsi"/>
          <w:sz w:val="24"/>
        </w:rPr>
        <w:t xml:space="preserve"> under that</w:t>
      </w:r>
      <w:r w:rsidRPr="00F64F43">
        <w:rPr>
          <w:rFonts w:asciiTheme="minorHAnsi" w:hAnsiTheme="minorHAnsi" w:cstheme="minorHAnsi"/>
          <w:sz w:val="24"/>
        </w:rPr>
        <w:t xml:space="preserve"> and click on “</w:t>
      </w:r>
      <w:r w:rsidR="00136FCE">
        <w:rPr>
          <w:rFonts w:asciiTheme="minorHAnsi" w:hAnsiTheme="minorHAnsi" w:cstheme="minorHAnsi"/>
          <w:sz w:val="24"/>
        </w:rPr>
        <w:t>Accounting Documents (Pre-Journal)</w:t>
      </w:r>
      <w:r w:rsidRPr="00F64F43">
        <w:rPr>
          <w:rFonts w:asciiTheme="minorHAnsi" w:hAnsiTheme="minorHAnsi" w:cstheme="minorHAnsi"/>
          <w:sz w:val="24"/>
        </w:rPr>
        <w:t>.”</w:t>
      </w:r>
    </w:p>
    <w:p w14:paraId="0BC2C006" w14:textId="484DF8C1" w:rsidR="00EC0682" w:rsidRDefault="00EC0682" w:rsidP="00EC0682">
      <w:pPr>
        <w:pStyle w:val="Command"/>
        <w:numPr>
          <w:ilvl w:val="0"/>
          <w:numId w:val="3"/>
        </w:numPr>
        <w:spacing w:before="0"/>
        <w:contextualSpacing/>
        <w:jc w:val="left"/>
        <w:rPr>
          <w:rFonts w:asciiTheme="minorHAnsi" w:hAnsiTheme="minorHAnsi" w:cstheme="minorHAnsi"/>
          <w:b w:val="0"/>
          <w:sz w:val="24"/>
        </w:rPr>
      </w:pPr>
      <w:r w:rsidRPr="00F64F43">
        <w:rPr>
          <w:rFonts w:asciiTheme="minorHAnsi" w:hAnsiTheme="minorHAnsi" w:cstheme="minorHAnsi"/>
          <w:b w:val="0"/>
          <w:sz w:val="24"/>
        </w:rPr>
        <w:t>Type “D</w:t>
      </w:r>
      <w:r w:rsidR="00136FCE">
        <w:rPr>
          <w:rFonts w:asciiTheme="minorHAnsi" w:hAnsiTheme="minorHAnsi" w:cstheme="minorHAnsi"/>
          <w:b w:val="0"/>
          <w:sz w:val="24"/>
        </w:rPr>
        <w:t>RAD</w:t>
      </w:r>
      <w:r w:rsidRPr="00F64F43">
        <w:rPr>
          <w:rFonts w:asciiTheme="minorHAnsi" w:hAnsiTheme="minorHAnsi" w:cstheme="minorHAnsi"/>
          <w:b w:val="0"/>
          <w:sz w:val="24"/>
        </w:rPr>
        <w:t>” in the Shortcuts Bar.</w:t>
      </w:r>
    </w:p>
    <w:p w14:paraId="494D64F8" w14:textId="77777777" w:rsidR="00EC0682" w:rsidRDefault="00EC0682" w:rsidP="00EC0682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49C7FE52" w14:textId="087E5AA3" w:rsidR="00EC0682" w:rsidRDefault="00F255F9" w:rsidP="00F255F9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noProof/>
          <w:sz w:val="24"/>
          <w14:ligatures w14:val="standardContextual"/>
        </w:rPr>
        <w:drawing>
          <wp:inline distT="0" distB="0" distL="0" distR="0" wp14:anchorId="7267D7B5" wp14:editId="0B914E5C">
            <wp:extent cx="5486400" cy="2617470"/>
            <wp:effectExtent l="0" t="0" r="0" b="0"/>
            <wp:docPr id="10346199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19983" name="Picture 10346199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D1E1" w14:textId="77777777" w:rsidR="00F255F9" w:rsidRDefault="00F255F9" w:rsidP="00F255F9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</w:p>
    <w:p w14:paraId="7CBE9813" w14:textId="77777777" w:rsidR="00F255F9" w:rsidRPr="00F64F43" w:rsidRDefault="00F255F9" w:rsidP="00F255F9">
      <w:pPr>
        <w:pStyle w:val="Heading2"/>
        <w:keepNext w:val="0"/>
        <w:spacing w:before="0" w:after="0"/>
        <w:contextualSpacing/>
        <w:jc w:val="left"/>
        <w:rPr>
          <w:rFonts w:asciiTheme="minorHAnsi" w:hAnsiTheme="minorHAnsi" w:cstheme="minorHAnsi"/>
          <w:b w:val="0"/>
          <w:bCs/>
          <w:sz w:val="24"/>
        </w:rPr>
      </w:pPr>
      <w:r w:rsidRPr="00F64F43">
        <w:rPr>
          <w:rFonts w:asciiTheme="minorHAnsi" w:hAnsiTheme="minorHAnsi" w:cstheme="minorHAnsi"/>
          <w:sz w:val="24"/>
          <w:u w:val="single"/>
        </w:rPr>
        <w:t>Reports Navigation Menu:</w:t>
      </w:r>
      <w:r w:rsidRPr="00F64F43">
        <w:rPr>
          <w:rFonts w:asciiTheme="minorHAnsi" w:hAnsiTheme="minorHAnsi" w:cstheme="minorHAnsi"/>
          <w:b w:val="0"/>
          <w:bCs/>
          <w:sz w:val="24"/>
        </w:rPr>
        <w:t xml:space="preserve"> This new menu appears on the left side of the screen for all reports and allows the user easy access to all report programs in the system. It is </w:t>
      </w:r>
      <w:r w:rsidRPr="00F64F43">
        <w:rPr>
          <w:rFonts w:asciiTheme="minorHAnsi" w:hAnsiTheme="minorHAnsi" w:cstheme="minorHAnsi"/>
          <w:sz w:val="24"/>
        </w:rPr>
        <w:t>collapsable</w:t>
      </w:r>
      <w:r w:rsidRPr="00F64F43">
        <w:rPr>
          <w:rFonts w:asciiTheme="minorHAnsi" w:hAnsiTheme="minorHAnsi" w:cstheme="minorHAnsi"/>
          <w:b w:val="0"/>
          <w:bCs/>
          <w:sz w:val="24"/>
        </w:rPr>
        <w:t xml:space="preserve"> and can be easily hidden.</w:t>
      </w:r>
    </w:p>
    <w:p w14:paraId="36DD1B5F" w14:textId="77777777" w:rsidR="00F255F9" w:rsidRPr="00F64F43" w:rsidRDefault="00F255F9" w:rsidP="00F255F9">
      <w:pPr>
        <w:pStyle w:val="Body"/>
        <w:spacing w:before="0"/>
        <w:contextualSpacing/>
        <w:rPr>
          <w:rFonts w:asciiTheme="minorHAnsi" w:hAnsiTheme="minorHAnsi" w:cstheme="minorHAnsi"/>
          <w:sz w:val="24"/>
        </w:rPr>
      </w:pPr>
    </w:p>
    <w:p w14:paraId="5B6FD8C3" w14:textId="77777777" w:rsidR="00F255F9" w:rsidRPr="00F64F43" w:rsidRDefault="00F255F9" w:rsidP="00F255F9">
      <w:pPr>
        <w:pStyle w:val="Heading2"/>
        <w:keepNext w:val="0"/>
        <w:spacing w:before="0" w:after="0"/>
        <w:contextualSpacing/>
        <w:jc w:val="left"/>
        <w:rPr>
          <w:rFonts w:asciiTheme="minorHAnsi" w:hAnsiTheme="minorHAnsi" w:cstheme="minorHAnsi"/>
          <w:sz w:val="24"/>
          <w:u w:val="single"/>
        </w:rPr>
      </w:pPr>
      <w:r w:rsidRPr="00F64F43">
        <w:rPr>
          <w:rFonts w:asciiTheme="minorHAnsi" w:hAnsiTheme="minorHAnsi" w:cstheme="minorHAnsi"/>
          <w:sz w:val="24"/>
          <w:u w:val="single"/>
        </w:rPr>
        <w:t>Screen Fields</w:t>
      </w:r>
    </w:p>
    <w:p w14:paraId="53C00392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4D545E76" w14:textId="20521D45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Report Type:</w:t>
      </w:r>
      <w:r>
        <w:rPr>
          <w:rFonts w:asciiTheme="minorHAnsi" w:hAnsiTheme="minorHAnsi" w:cstheme="minorHAnsi"/>
          <w:b w:val="0"/>
          <w:sz w:val="24"/>
        </w:rPr>
        <w:t xml:space="preserve"> Choose if you want to include all unposted documents on the report, or if you only want to view a single unposted document’s details.</w:t>
      </w:r>
    </w:p>
    <w:p w14:paraId="67C68B96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7C281BAF" w14:textId="0370EF19" w:rsidR="00F255F9" w:rsidRPr="00F255F9" w:rsidRDefault="00F255F9" w:rsidP="00F255F9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1E915033" wp14:editId="1E40F054">
            <wp:extent cx="2486025" cy="1195327"/>
            <wp:effectExtent l="0" t="0" r="0" b="5080"/>
            <wp:docPr id="141260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1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455" cy="119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838E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07CC9EF1" w14:textId="68C8BCBD" w:rsidR="00F255F9" w:rsidRP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Cs/>
          <w:sz w:val="24"/>
        </w:rPr>
      </w:pPr>
      <w:r w:rsidRPr="00F255F9">
        <w:rPr>
          <w:rFonts w:asciiTheme="minorHAnsi" w:hAnsiTheme="minorHAnsi" w:cstheme="minorHAnsi"/>
          <w:bCs/>
          <w:sz w:val="24"/>
        </w:rPr>
        <w:t>Document Number:</w:t>
      </w:r>
      <w:r>
        <w:rPr>
          <w:rFonts w:asciiTheme="minorHAnsi" w:hAnsiTheme="minorHAnsi" w:cstheme="minorHAnsi"/>
          <w:b w:val="0"/>
          <w:sz w:val="24"/>
        </w:rPr>
        <w:t xml:space="preserve"> This field only appears if you choose to only run the report for a single document. Enter that document’s number in this field.</w:t>
      </w:r>
    </w:p>
    <w:p w14:paraId="11611CF7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18BA941C" w14:textId="2E985494" w:rsidR="00F255F9" w:rsidRP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Printer:</w:t>
      </w:r>
      <w:r>
        <w:rPr>
          <w:rFonts w:asciiTheme="minorHAnsi" w:hAnsiTheme="minorHAnsi" w:cstheme="minorHAnsi"/>
          <w:b w:val="0"/>
          <w:sz w:val="24"/>
        </w:rPr>
        <w:t xml:space="preserve"> Set the printer to receive the report printout or use the default setting.</w:t>
      </w:r>
    </w:p>
    <w:p w14:paraId="2E31D44A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396C2268" w14:textId="06C3C40D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Cs/>
          <w:sz w:val="24"/>
          <w:u w:val="single"/>
        </w:rPr>
        <w:t>Print Report:</w:t>
      </w:r>
      <w:r>
        <w:rPr>
          <w:rFonts w:asciiTheme="minorHAnsi" w:hAnsiTheme="minorHAnsi" w:cstheme="minorHAnsi"/>
          <w:b w:val="0"/>
          <w:sz w:val="24"/>
        </w:rPr>
        <w:t xml:space="preserve"> Click this button to print the report.</w:t>
      </w:r>
    </w:p>
    <w:p w14:paraId="31877046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5B2C4C1B" w14:textId="05D2A829" w:rsidR="00F255F9" w:rsidRDefault="00F255F9" w:rsidP="00F255F9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7D89CE4F" wp14:editId="18DBC34E">
            <wp:extent cx="5486400" cy="1068070"/>
            <wp:effectExtent l="0" t="0" r="0" b="0"/>
            <wp:docPr id="59252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20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AFE1" w14:textId="77777777" w:rsidR="00F255F9" w:rsidRDefault="00F255F9" w:rsidP="00F255F9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4"/>
        </w:rPr>
      </w:pPr>
    </w:p>
    <w:p w14:paraId="767350A5" w14:textId="4AB54CF0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Cs/>
          <w:sz w:val="24"/>
          <w:u w:val="single"/>
        </w:rPr>
        <w:t>Report Details:</w:t>
      </w:r>
      <w:r>
        <w:rPr>
          <w:rFonts w:asciiTheme="minorHAnsi" w:hAnsiTheme="minorHAnsi" w:cstheme="minorHAnsi"/>
          <w:b w:val="0"/>
          <w:sz w:val="24"/>
        </w:rPr>
        <w:t xml:space="preserve"> </w:t>
      </w:r>
    </w:p>
    <w:p w14:paraId="739750EE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5E0790D4" w14:textId="0EE4D145" w:rsidR="00F255F9" w:rsidRPr="00C86B6B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JN:</w:t>
      </w:r>
      <w:r w:rsidR="00C86B6B">
        <w:rPr>
          <w:rFonts w:asciiTheme="minorHAnsi" w:hAnsiTheme="minorHAnsi" w:cstheme="minorHAnsi"/>
          <w:b w:val="0"/>
          <w:sz w:val="24"/>
        </w:rPr>
        <w:t xml:space="preserve"> Shows the Journal number for the pending transaction.</w:t>
      </w:r>
    </w:p>
    <w:p w14:paraId="1406F4A2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605F9E98" w14:textId="1BC552CB" w:rsidR="00F255F9" w:rsidRPr="00C86B6B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Leg #:</w:t>
      </w:r>
      <w:r w:rsidR="00C86B6B">
        <w:rPr>
          <w:rFonts w:asciiTheme="minorHAnsi" w:hAnsiTheme="minorHAnsi" w:cstheme="minorHAnsi"/>
          <w:b w:val="0"/>
          <w:sz w:val="24"/>
        </w:rPr>
        <w:t xml:space="preserve"> Shows the G/L account number for the pending transaction.</w:t>
      </w:r>
    </w:p>
    <w:p w14:paraId="50868CDA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41F8E98D" w14:textId="39B8CED7" w:rsidR="00F255F9" w:rsidRPr="00C86B6B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Doc #:</w:t>
      </w:r>
      <w:r w:rsidR="00C86B6B">
        <w:rPr>
          <w:rFonts w:asciiTheme="minorHAnsi" w:hAnsiTheme="minorHAnsi" w:cstheme="minorHAnsi"/>
          <w:b w:val="0"/>
          <w:sz w:val="24"/>
        </w:rPr>
        <w:t xml:space="preserve"> Shows the document number of the pending transaction.</w:t>
      </w:r>
    </w:p>
    <w:p w14:paraId="5B255593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2F2756F9" w14:textId="59BFCE27" w:rsidR="00F255F9" w:rsidRPr="00C86B6B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Cust #:</w:t>
      </w:r>
      <w:r w:rsidR="00C86B6B">
        <w:rPr>
          <w:rFonts w:asciiTheme="minorHAnsi" w:hAnsiTheme="minorHAnsi" w:cstheme="minorHAnsi"/>
          <w:b w:val="0"/>
          <w:sz w:val="24"/>
        </w:rPr>
        <w:t xml:space="preserve"> Shows any customer number tied to the transaction.</w:t>
      </w:r>
    </w:p>
    <w:p w14:paraId="00E5321A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1F1004A0" w14:textId="28B00D75" w:rsidR="00F255F9" w:rsidRPr="00C86B6B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Cont #:</w:t>
      </w:r>
      <w:r w:rsidR="00C86B6B">
        <w:rPr>
          <w:rFonts w:asciiTheme="minorHAnsi" w:hAnsiTheme="minorHAnsi" w:cstheme="minorHAnsi"/>
          <w:b w:val="0"/>
          <w:sz w:val="24"/>
        </w:rPr>
        <w:t xml:space="preserve"> Shows the control number for the transaction, if any. In the example above, the control number is the same as the customer number.</w:t>
      </w:r>
    </w:p>
    <w:p w14:paraId="2C74A339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3D7994C0" w14:textId="47FA8507" w:rsidR="00F255F9" w:rsidRPr="00C86B6B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Date:</w:t>
      </w:r>
      <w:r w:rsidR="00C86B6B">
        <w:rPr>
          <w:rFonts w:asciiTheme="minorHAnsi" w:hAnsiTheme="minorHAnsi" w:cstheme="minorHAnsi"/>
          <w:b w:val="0"/>
          <w:sz w:val="24"/>
        </w:rPr>
        <w:t xml:space="preserve"> Shows the document date.</w:t>
      </w:r>
    </w:p>
    <w:p w14:paraId="3EF6BC17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34D0EA3D" w14:textId="5E5FAB91" w:rsidR="00F255F9" w:rsidRPr="00C86B6B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Sls:</w:t>
      </w:r>
      <w:r w:rsidR="00C86B6B">
        <w:rPr>
          <w:rFonts w:asciiTheme="minorHAnsi" w:hAnsiTheme="minorHAnsi" w:cstheme="minorHAnsi"/>
          <w:b w:val="0"/>
          <w:sz w:val="24"/>
        </w:rPr>
        <w:t> Shows the salesperson ID tied to the document.</w:t>
      </w:r>
    </w:p>
    <w:p w14:paraId="3354D930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41D52C7C" w14:textId="2FB96092" w:rsidR="00F255F9" w:rsidRPr="00C86B6B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Amount:</w:t>
      </w:r>
      <w:r w:rsidR="00C86B6B">
        <w:rPr>
          <w:rFonts w:asciiTheme="minorHAnsi" w:hAnsiTheme="minorHAnsi" w:cstheme="minorHAnsi"/>
          <w:b w:val="0"/>
          <w:sz w:val="24"/>
        </w:rPr>
        <w:t xml:space="preserve"> Shows the dollar amount of the transaction.</w:t>
      </w:r>
    </w:p>
    <w:p w14:paraId="7BD2C9DC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1D201370" w14:textId="2C362545" w:rsidR="00F255F9" w:rsidRPr="00C86B6B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Cost:</w:t>
      </w:r>
      <w:r w:rsidR="00C86B6B">
        <w:rPr>
          <w:rFonts w:asciiTheme="minorHAnsi" w:hAnsiTheme="minorHAnsi" w:cstheme="minorHAnsi"/>
          <w:b w:val="0"/>
          <w:sz w:val="24"/>
        </w:rPr>
        <w:t xml:space="preserve"> Shows the dollar cost of the transaction.</w:t>
      </w:r>
    </w:p>
    <w:p w14:paraId="1C10AD67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  <w:u w:val="single"/>
        </w:rPr>
      </w:pPr>
    </w:p>
    <w:p w14:paraId="0CA918DA" w14:textId="142BAC0F" w:rsidR="00F255F9" w:rsidRPr="00C86B6B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u w:val="single"/>
        </w:rPr>
        <w:t>Description:</w:t>
      </w:r>
      <w:r w:rsidR="00C86B6B">
        <w:rPr>
          <w:rFonts w:asciiTheme="minorHAnsi" w:hAnsiTheme="minorHAnsi" w:cstheme="minorHAnsi"/>
          <w:b w:val="0"/>
          <w:sz w:val="24"/>
        </w:rPr>
        <w:t xml:space="preserve"> Shows a description for the transaction.</w:t>
      </w:r>
    </w:p>
    <w:p w14:paraId="2CCB3CCC" w14:textId="77777777" w:rsid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p w14:paraId="64F10B61" w14:textId="77777777" w:rsidR="00F255F9" w:rsidRPr="00F255F9" w:rsidRDefault="00F255F9" w:rsidP="00F255F9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4"/>
        </w:rPr>
      </w:pPr>
    </w:p>
    <w:sectPr w:rsidR="00F255F9" w:rsidRPr="00F255F9" w:rsidSect="00EC0682">
      <w:headerReference w:type="default" r:id="rId11"/>
      <w:footerReference w:type="default" r:id="rId12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5F86A" w14:textId="77777777" w:rsidR="00FD670C" w:rsidRDefault="00FD670C">
      <w:r>
        <w:separator/>
      </w:r>
    </w:p>
  </w:endnote>
  <w:endnote w:type="continuationSeparator" w:id="0">
    <w:p w14:paraId="5A9663EE" w14:textId="77777777" w:rsidR="00FD670C" w:rsidRDefault="00FD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6257B" w14:textId="77777777" w:rsidR="007C13FB" w:rsidRDefault="007C13FB">
    <w:pPr>
      <w:pStyle w:val="Footer"/>
      <w:tabs>
        <w:tab w:val="clear" w:pos="4320"/>
      </w:tabs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96308" w14:textId="77777777" w:rsidR="00FD670C" w:rsidRDefault="00FD670C">
      <w:r>
        <w:separator/>
      </w:r>
    </w:p>
  </w:footnote>
  <w:footnote w:type="continuationSeparator" w:id="0">
    <w:p w14:paraId="5B48785E" w14:textId="77777777" w:rsidR="00FD670C" w:rsidRDefault="00FD6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0B54B" w14:textId="77777777" w:rsidR="007C13FB" w:rsidRDefault="00000000">
    <w:pPr>
      <w:pStyle w:val="Header"/>
      <w:rPr>
        <w:b w:val="0"/>
      </w:rPr>
    </w:pPr>
    <w:r>
      <w:t>Daily Operating Control Report</w:t>
    </w:r>
    <w:r>
      <w:tab/>
    </w:r>
    <w:r>
      <w:rPr>
        <w:b w:val="0"/>
      </w:rPr>
      <w:t>General Ledger</w:t>
    </w:r>
  </w:p>
  <w:p w14:paraId="7A87ED10" w14:textId="77777777" w:rsidR="007C13FB" w:rsidRDefault="00000000">
    <w:pPr>
      <w:pStyle w:val="Header"/>
    </w:pPr>
    <w:r>
      <w:rPr>
        <w:b w:val="0"/>
      </w:rPr>
      <w:t>Netview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996"/>
    <w:multiLevelType w:val="hybridMultilevel"/>
    <w:tmpl w:val="4F584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243597"/>
    <w:multiLevelType w:val="hybridMultilevel"/>
    <w:tmpl w:val="5A76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A776E"/>
    <w:multiLevelType w:val="hybridMultilevel"/>
    <w:tmpl w:val="1D3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926216">
    <w:abstractNumId w:val="0"/>
  </w:num>
  <w:num w:numId="2" w16cid:durableId="890116641">
    <w:abstractNumId w:val="1"/>
  </w:num>
  <w:num w:numId="3" w16cid:durableId="496917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82"/>
    <w:rsid w:val="00136FCE"/>
    <w:rsid w:val="002F570F"/>
    <w:rsid w:val="00653CE7"/>
    <w:rsid w:val="007C13FB"/>
    <w:rsid w:val="00AE0D5B"/>
    <w:rsid w:val="00B250C4"/>
    <w:rsid w:val="00C2308C"/>
    <w:rsid w:val="00C86B6B"/>
    <w:rsid w:val="00EC0682"/>
    <w:rsid w:val="00F22194"/>
    <w:rsid w:val="00F255F9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726F"/>
  <w15:chartTrackingRefBased/>
  <w15:docId w15:val="{1149BACE-15B1-4CE7-8644-3CC078E6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682"/>
    <w:pPr>
      <w:spacing w:after="0" w:line="240" w:lineRule="auto"/>
      <w:jc w:val="both"/>
    </w:pPr>
    <w:rPr>
      <w:rFonts w:ascii="Verdana" w:eastAsia="Times New Roman" w:hAnsi="Verdana" w:cs="Times New Roman"/>
      <w:kern w:val="0"/>
      <w:sz w:val="20"/>
      <w:szCs w:val="24"/>
      <w14:ligatures w14:val="none"/>
    </w:rPr>
  </w:style>
  <w:style w:type="paragraph" w:styleId="Heading2">
    <w:name w:val="heading 2"/>
    <w:basedOn w:val="Normal"/>
    <w:next w:val="Body"/>
    <w:link w:val="Heading2Char"/>
    <w:qFormat/>
    <w:rsid w:val="00EC0682"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rsid w:val="00EC0682"/>
    <w:pPr>
      <w:keepNext/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0682"/>
    <w:rPr>
      <w:rFonts w:ascii="Verdana" w:eastAsia="Times New Roman" w:hAnsi="Verdana" w:cs="Times New Roman"/>
      <w:b/>
      <w:kern w:val="0"/>
      <w:sz w:val="2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EC0682"/>
    <w:rPr>
      <w:rFonts w:ascii="Verdana" w:eastAsia="Times New Roman" w:hAnsi="Verdana" w:cs="Times New Roman"/>
      <w:b/>
      <w:kern w:val="0"/>
      <w:sz w:val="20"/>
      <w:szCs w:val="24"/>
      <w14:ligatures w14:val="none"/>
    </w:rPr>
  </w:style>
  <w:style w:type="paragraph" w:styleId="Header">
    <w:name w:val="header"/>
    <w:basedOn w:val="Normal"/>
    <w:link w:val="HeaderChar"/>
    <w:rsid w:val="00EC0682"/>
    <w:pPr>
      <w:tabs>
        <w:tab w:val="right" w:pos="8640"/>
      </w:tabs>
    </w:pPr>
    <w:rPr>
      <w:b/>
      <w:i/>
    </w:rPr>
  </w:style>
  <w:style w:type="character" w:customStyle="1" w:styleId="HeaderChar">
    <w:name w:val="Header Char"/>
    <w:basedOn w:val="DefaultParagraphFont"/>
    <w:link w:val="Header"/>
    <w:rsid w:val="00EC0682"/>
    <w:rPr>
      <w:rFonts w:ascii="Verdana" w:eastAsia="Times New Roman" w:hAnsi="Verdana" w:cs="Times New Roman"/>
      <w:b/>
      <w:i/>
      <w:kern w:val="0"/>
      <w:sz w:val="20"/>
      <w:szCs w:val="24"/>
      <w14:ligatures w14:val="none"/>
    </w:rPr>
  </w:style>
  <w:style w:type="paragraph" w:styleId="Footer">
    <w:name w:val="footer"/>
    <w:basedOn w:val="Normal"/>
    <w:link w:val="FooterChar"/>
    <w:rsid w:val="00EC06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682"/>
    <w:rPr>
      <w:rFonts w:ascii="Verdana" w:eastAsia="Times New Roman" w:hAnsi="Verdana" w:cs="Times New Roman"/>
      <w:kern w:val="0"/>
      <w:sz w:val="20"/>
      <w:szCs w:val="24"/>
      <w14:ligatures w14:val="none"/>
    </w:rPr>
  </w:style>
  <w:style w:type="character" w:styleId="PageNumber">
    <w:name w:val="page number"/>
    <w:rsid w:val="00EC0682"/>
    <w:rPr>
      <w:rFonts w:ascii="Verdana" w:hAnsi="Verdana"/>
      <w:b/>
      <w:dstrike w:val="0"/>
      <w:sz w:val="20"/>
      <w:vertAlign w:val="baseline"/>
    </w:rPr>
  </w:style>
  <w:style w:type="paragraph" w:customStyle="1" w:styleId="Command">
    <w:name w:val="Command"/>
    <w:basedOn w:val="Normal"/>
    <w:rsid w:val="00EC0682"/>
    <w:pPr>
      <w:spacing w:before="240"/>
      <w:ind w:left="331"/>
    </w:pPr>
    <w:rPr>
      <w:b/>
    </w:rPr>
  </w:style>
  <w:style w:type="paragraph" w:customStyle="1" w:styleId="Body">
    <w:name w:val="Body"/>
    <w:basedOn w:val="Normal"/>
    <w:rsid w:val="00EC0682"/>
    <w:pPr>
      <w:spacing w:before="240"/>
    </w:pPr>
  </w:style>
  <w:style w:type="paragraph" w:styleId="BodyText">
    <w:name w:val="Body Text"/>
    <w:basedOn w:val="Normal"/>
    <w:next w:val="Body"/>
    <w:link w:val="BodyTextChar"/>
    <w:rsid w:val="00EC0682"/>
  </w:style>
  <w:style w:type="character" w:customStyle="1" w:styleId="BodyTextChar">
    <w:name w:val="Body Text Char"/>
    <w:basedOn w:val="DefaultParagraphFont"/>
    <w:link w:val="BodyText"/>
    <w:rsid w:val="00EC0682"/>
    <w:rPr>
      <w:rFonts w:ascii="Verdana" w:eastAsia="Times New Roman" w:hAnsi="Verdana" w:cs="Times New Roman"/>
      <w:kern w:val="0"/>
      <w:sz w:val="2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Shelby Lund</cp:lastModifiedBy>
  <cp:revision>5</cp:revision>
  <dcterms:created xsi:type="dcterms:W3CDTF">2024-07-29T20:55:00Z</dcterms:created>
  <dcterms:modified xsi:type="dcterms:W3CDTF">2024-08-15T16:39:00Z</dcterms:modified>
</cp:coreProperties>
</file>