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BF88A" w14:textId="20868DC7" w:rsidR="00BA28E0" w:rsidRPr="0019425C" w:rsidRDefault="001975C7" w:rsidP="001420ED">
      <w:pPr>
        <w:spacing w:after="0"/>
        <w:contextualSpacing/>
        <w:rPr>
          <w:sz w:val="36"/>
          <w:szCs w:val="36"/>
        </w:rPr>
      </w:pPr>
      <w:r>
        <w:rPr>
          <w:sz w:val="36"/>
          <w:szCs w:val="36"/>
          <w:u w:val="single"/>
        </w:rPr>
        <w:t>IPO Program Heade</w:t>
      </w:r>
      <w:r w:rsidR="007B2E6B">
        <w:rPr>
          <w:sz w:val="36"/>
          <w:szCs w:val="36"/>
          <w:u w:val="single"/>
        </w:rPr>
        <w:t>r</w:t>
      </w:r>
    </w:p>
    <w:p w14:paraId="395D7313" w14:textId="77777777" w:rsidR="001420ED" w:rsidRDefault="001420ED" w:rsidP="001420ED">
      <w:pPr>
        <w:spacing w:after="0"/>
        <w:contextualSpacing/>
        <w:jc w:val="center"/>
      </w:pPr>
    </w:p>
    <w:p w14:paraId="7657BE5B" w14:textId="595552FC" w:rsidR="001975C7" w:rsidRDefault="001975C7" w:rsidP="001420ED">
      <w:pPr>
        <w:spacing w:after="0"/>
        <w:contextualSpacing/>
        <w:jc w:val="center"/>
      </w:pPr>
      <w:r>
        <w:rPr>
          <w:noProof/>
        </w:rPr>
        <w:drawing>
          <wp:inline distT="0" distB="0" distL="0" distR="0" wp14:anchorId="58FA78AC" wp14:editId="1612968D">
            <wp:extent cx="5943600" cy="2660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 Column Dashboar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p>
    <w:p w14:paraId="1A44578D" w14:textId="77777777" w:rsidR="001420ED" w:rsidRDefault="001420ED" w:rsidP="001420ED">
      <w:pPr>
        <w:spacing w:after="0"/>
        <w:contextualSpacing/>
      </w:pPr>
    </w:p>
    <w:p w14:paraId="759B138A" w14:textId="51147E76" w:rsidR="001975C7" w:rsidRDefault="001975C7" w:rsidP="001420ED">
      <w:pPr>
        <w:spacing w:after="0"/>
        <w:contextualSpacing/>
      </w:pPr>
      <w:r>
        <w:t>The Program Header in Integrated Purchase Orders (IPO) appears on every screen in the program.  It allows you to switch between different program screens and look up documents to work on.</w:t>
      </w:r>
    </w:p>
    <w:p w14:paraId="7A11C915" w14:textId="77777777" w:rsidR="001420ED" w:rsidRDefault="001420ED" w:rsidP="001420ED">
      <w:pPr>
        <w:spacing w:after="0"/>
        <w:contextualSpacing/>
        <w:rPr>
          <w:b/>
          <w:bCs/>
          <w:u w:val="single"/>
        </w:rPr>
      </w:pPr>
    </w:p>
    <w:p w14:paraId="400147E2" w14:textId="4ADF782A" w:rsidR="001975C7" w:rsidRPr="008E2642" w:rsidRDefault="001975C7" w:rsidP="001420ED">
      <w:pPr>
        <w:spacing w:after="0"/>
        <w:contextualSpacing/>
        <w:rPr>
          <w:b/>
          <w:bCs/>
        </w:rPr>
      </w:pPr>
      <w:r>
        <w:rPr>
          <w:b/>
          <w:bCs/>
          <w:u w:val="single"/>
        </w:rPr>
        <w:t>Create New Request:</w:t>
      </w:r>
      <w:r w:rsidR="008E2642">
        <w:t xml:space="preserve"> Clicking this option allows you create a new requisition to submit as a purchase order.  This screen will be explained in more detail when discussing the lifecycles of the different PO types.</w:t>
      </w:r>
    </w:p>
    <w:p w14:paraId="4506A929" w14:textId="77777777" w:rsidR="001420ED" w:rsidRDefault="001420ED" w:rsidP="001420ED">
      <w:pPr>
        <w:spacing w:after="0"/>
        <w:contextualSpacing/>
        <w:rPr>
          <w:b/>
          <w:bCs/>
          <w:u w:val="single"/>
        </w:rPr>
      </w:pPr>
    </w:p>
    <w:p w14:paraId="016CC531" w14:textId="175C2511" w:rsidR="001975C7" w:rsidRPr="008E2642" w:rsidRDefault="001975C7" w:rsidP="001420ED">
      <w:pPr>
        <w:spacing w:after="0"/>
        <w:contextualSpacing/>
      </w:pPr>
      <w:r>
        <w:rPr>
          <w:b/>
          <w:bCs/>
          <w:u w:val="single"/>
        </w:rPr>
        <w:t>Dashboard:</w:t>
      </w:r>
      <w:r w:rsidR="008E2642">
        <w:t xml:space="preserve"> This option allows you to return to your default Dashboard from any other screen in the program, with the exception of the other Dashboard view.</w:t>
      </w:r>
    </w:p>
    <w:p w14:paraId="74982DED" w14:textId="77777777" w:rsidR="001420ED" w:rsidRDefault="001420ED" w:rsidP="001420ED">
      <w:pPr>
        <w:spacing w:after="0"/>
        <w:contextualSpacing/>
        <w:rPr>
          <w:b/>
          <w:bCs/>
          <w:u w:val="single"/>
        </w:rPr>
      </w:pPr>
    </w:p>
    <w:p w14:paraId="1DDEAE5F" w14:textId="30ACCE12" w:rsidR="00D6110D" w:rsidRPr="00D6110D" w:rsidRDefault="001975C7" w:rsidP="001420ED">
      <w:pPr>
        <w:spacing w:after="0"/>
        <w:contextualSpacing/>
      </w:pPr>
      <w:r>
        <w:rPr>
          <w:b/>
          <w:bCs/>
          <w:u w:val="single"/>
        </w:rPr>
        <w:t>Document Search:</w:t>
      </w:r>
      <w:r w:rsidR="008E2642">
        <w:t xml:space="preserve"> Use this field to search for a particular document within the program.  Enter </w:t>
      </w:r>
      <w:r w:rsidR="00966EBB">
        <w:t xml:space="preserve">all or part of the </w:t>
      </w:r>
      <w:r w:rsidR="00966EBB">
        <w:rPr>
          <w:b/>
          <w:bCs/>
        </w:rPr>
        <w:t>document number</w:t>
      </w:r>
      <w:r w:rsidR="008E2642">
        <w:t xml:space="preserve"> and click the </w:t>
      </w:r>
      <w:r w:rsidR="008E2642">
        <w:rPr>
          <w:b/>
          <w:bCs/>
        </w:rPr>
        <w:t xml:space="preserve">Search </w:t>
      </w:r>
      <w:r w:rsidR="008E2642">
        <w:t xml:space="preserve">button.  </w:t>
      </w:r>
      <w:r w:rsidR="00D6110D">
        <w:rPr>
          <w:b/>
          <w:bCs/>
        </w:rPr>
        <w:t xml:space="preserve">NOTE: </w:t>
      </w:r>
      <w:r w:rsidR="00D6110D">
        <w:t xml:space="preserve">The search will only return documents that you have permission to view with your </w:t>
      </w:r>
      <w:r w:rsidR="00D6110D">
        <w:rPr>
          <w:b/>
          <w:bCs/>
        </w:rPr>
        <w:t>IPO role</w:t>
      </w:r>
      <w:r w:rsidR="00D6110D">
        <w:t>, i.e. belonging to your location and department.</w:t>
      </w:r>
    </w:p>
    <w:p w14:paraId="25699724" w14:textId="77777777" w:rsidR="001420ED" w:rsidRDefault="001420ED" w:rsidP="001420ED">
      <w:pPr>
        <w:spacing w:after="0"/>
        <w:contextualSpacing/>
      </w:pPr>
    </w:p>
    <w:p w14:paraId="1FA9E91C" w14:textId="14A635EE" w:rsidR="001420ED" w:rsidRDefault="008E2642" w:rsidP="00B74EB1">
      <w:pPr>
        <w:spacing w:after="0"/>
        <w:contextualSpacing/>
      </w:pPr>
      <w:r>
        <w:t>The following window will open:</w:t>
      </w:r>
    </w:p>
    <w:p w14:paraId="476FB56A" w14:textId="238F8810" w:rsidR="00B74EB1" w:rsidRDefault="00B74EB1" w:rsidP="00B74EB1">
      <w:pPr>
        <w:spacing w:after="0"/>
        <w:contextualSpacing/>
      </w:pPr>
    </w:p>
    <w:p w14:paraId="54639E82" w14:textId="64DD571B" w:rsidR="00B74EB1" w:rsidRPr="00C72514" w:rsidRDefault="00C72514" w:rsidP="00B74EB1">
      <w:pPr>
        <w:spacing w:after="0"/>
        <w:contextualSpacing/>
        <w:jc w:val="center"/>
      </w:pPr>
      <w:r>
        <w:rPr>
          <w:noProof/>
        </w:rPr>
        <w:lastRenderedPageBreak/>
        <w:drawing>
          <wp:inline distT="0" distB="0" distL="0" distR="0" wp14:anchorId="1A638718" wp14:editId="661E59D3">
            <wp:extent cx="5943600" cy="2755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5900"/>
                    </a:xfrm>
                    <a:prstGeom prst="rect">
                      <a:avLst/>
                    </a:prstGeom>
                  </pic:spPr>
                </pic:pic>
              </a:graphicData>
            </a:graphic>
          </wp:inline>
        </w:drawing>
      </w:r>
    </w:p>
    <w:p w14:paraId="2AB527C6" w14:textId="77777777" w:rsidR="00C5310D" w:rsidRDefault="00C5310D" w:rsidP="001420ED">
      <w:pPr>
        <w:spacing w:after="0"/>
        <w:contextualSpacing/>
      </w:pPr>
    </w:p>
    <w:p w14:paraId="1DE33572" w14:textId="77777777" w:rsidR="00C72514" w:rsidRDefault="008E2642" w:rsidP="001420ED">
      <w:pPr>
        <w:spacing w:after="0"/>
        <w:contextualSpacing/>
      </w:pPr>
      <w:r>
        <w:t>Each search result shows the</w:t>
      </w:r>
      <w:r w:rsidR="00C72514">
        <w:t xml:space="preserve"> following:</w:t>
      </w:r>
      <w:r>
        <w:t xml:space="preserve"> </w:t>
      </w:r>
    </w:p>
    <w:p w14:paraId="2646A72D" w14:textId="77777777" w:rsidR="00C72514" w:rsidRDefault="00C72514" w:rsidP="001420ED">
      <w:pPr>
        <w:spacing w:after="0"/>
        <w:contextualSpacing/>
      </w:pPr>
    </w:p>
    <w:p w14:paraId="17D1071E" w14:textId="77777777" w:rsidR="00C72514" w:rsidRDefault="00C72514" w:rsidP="00C72514">
      <w:pPr>
        <w:pStyle w:val="ListParagraph"/>
        <w:numPr>
          <w:ilvl w:val="0"/>
          <w:numId w:val="1"/>
        </w:numPr>
        <w:spacing w:after="0"/>
      </w:pPr>
      <w:r>
        <w:t>D</w:t>
      </w:r>
      <w:r w:rsidR="008E2642">
        <w:t>ocument number</w:t>
      </w:r>
    </w:p>
    <w:p w14:paraId="0A407DD9" w14:textId="77777777" w:rsidR="00C72514" w:rsidRDefault="00C72514" w:rsidP="00C72514">
      <w:pPr>
        <w:pStyle w:val="ListParagraph"/>
        <w:numPr>
          <w:ilvl w:val="0"/>
          <w:numId w:val="1"/>
        </w:numPr>
        <w:spacing w:after="0"/>
      </w:pPr>
      <w:r>
        <w:t>Requisition number (will be duplicate of document number if document is still a Requisition)</w:t>
      </w:r>
    </w:p>
    <w:p w14:paraId="4D12D6F2" w14:textId="77777777" w:rsidR="00C72514" w:rsidRDefault="00C72514" w:rsidP="00C72514">
      <w:pPr>
        <w:pStyle w:val="ListParagraph"/>
        <w:numPr>
          <w:ilvl w:val="0"/>
          <w:numId w:val="1"/>
        </w:numPr>
        <w:spacing w:after="0"/>
      </w:pPr>
      <w:r>
        <w:t>D</w:t>
      </w:r>
      <w:r w:rsidR="008E2642">
        <w:t>ocument type</w:t>
      </w:r>
    </w:p>
    <w:p w14:paraId="1EF79D2F" w14:textId="77777777" w:rsidR="00C72514" w:rsidRDefault="00C72514" w:rsidP="00C72514">
      <w:pPr>
        <w:pStyle w:val="ListParagraph"/>
        <w:numPr>
          <w:ilvl w:val="0"/>
          <w:numId w:val="1"/>
        </w:numPr>
        <w:spacing w:after="0"/>
      </w:pPr>
      <w:r>
        <w:t>D</w:t>
      </w:r>
      <w:r w:rsidR="008E2642">
        <w:t>ocument creation date</w:t>
      </w:r>
    </w:p>
    <w:p w14:paraId="5889D286" w14:textId="77777777" w:rsidR="00C72514" w:rsidRDefault="00C72514" w:rsidP="00C72514">
      <w:pPr>
        <w:pStyle w:val="ListParagraph"/>
        <w:numPr>
          <w:ilvl w:val="0"/>
          <w:numId w:val="1"/>
        </w:numPr>
        <w:spacing w:after="0"/>
      </w:pPr>
      <w:r>
        <w:t>D</w:t>
      </w:r>
      <w:r w:rsidR="008E2642">
        <w:t>ocument amount</w:t>
      </w:r>
    </w:p>
    <w:p w14:paraId="328D9D29" w14:textId="77777777" w:rsidR="00C72514" w:rsidRDefault="00C72514" w:rsidP="00C72514">
      <w:pPr>
        <w:pStyle w:val="ListParagraph"/>
        <w:numPr>
          <w:ilvl w:val="0"/>
          <w:numId w:val="1"/>
        </w:numPr>
        <w:spacing w:after="0"/>
      </w:pPr>
      <w:r>
        <w:t>D</w:t>
      </w:r>
      <w:r w:rsidR="008E2642">
        <w:t>ocument status</w:t>
      </w:r>
    </w:p>
    <w:p w14:paraId="26E2D881" w14:textId="05DF7D04" w:rsidR="00C72514" w:rsidRDefault="00C72514" w:rsidP="00C72514">
      <w:pPr>
        <w:pStyle w:val="ListParagraph"/>
        <w:numPr>
          <w:ilvl w:val="0"/>
          <w:numId w:val="1"/>
        </w:numPr>
        <w:spacing w:after="0"/>
      </w:pPr>
      <w:r>
        <w:t>D</w:t>
      </w:r>
      <w:r w:rsidR="008E2642">
        <w:t>ocument department</w:t>
      </w:r>
    </w:p>
    <w:p w14:paraId="61D94BC2" w14:textId="77777777" w:rsidR="00C72514" w:rsidRDefault="00C72514" w:rsidP="001420ED">
      <w:pPr>
        <w:spacing w:after="0"/>
        <w:contextualSpacing/>
      </w:pPr>
    </w:p>
    <w:p w14:paraId="09AB2133" w14:textId="67988954" w:rsidR="008E2642" w:rsidRPr="008E2642" w:rsidRDefault="00D6110D" w:rsidP="001420ED">
      <w:pPr>
        <w:spacing w:after="0"/>
        <w:contextualSpacing/>
      </w:pPr>
      <w:r>
        <w:t>Click on the document entry to open it.</w:t>
      </w:r>
    </w:p>
    <w:p w14:paraId="1B1201AC" w14:textId="77777777" w:rsidR="001420ED" w:rsidRDefault="001420ED" w:rsidP="001420ED">
      <w:pPr>
        <w:tabs>
          <w:tab w:val="left" w:pos="2535"/>
        </w:tabs>
        <w:spacing w:after="0"/>
        <w:contextualSpacing/>
        <w:rPr>
          <w:b/>
          <w:bCs/>
          <w:u w:val="single"/>
        </w:rPr>
      </w:pPr>
    </w:p>
    <w:p w14:paraId="1DCAFFFC" w14:textId="564C773D" w:rsidR="001975C7" w:rsidRPr="00580F8A" w:rsidRDefault="001975C7" w:rsidP="001420ED">
      <w:pPr>
        <w:tabs>
          <w:tab w:val="left" w:pos="2535"/>
        </w:tabs>
        <w:spacing w:after="0"/>
        <w:contextualSpacing/>
      </w:pPr>
      <w:r>
        <w:rPr>
          <w:b/>
          <w:bCs/>
          <w:u w:val="single"/>
        </w:rPr>
        <w:t>Reports:</w:t>
      </w:r>
      <w:r w:rsidR="001D54D1">
        <w:rPr>
          <w:b/>
          <w:bCs/>
        </w:rPr>
        <w:t xml:space="preserve"> </w:t>
      </w:r>
      <w:r w:rsidR="00580F8A">
        <w:t xml:space="preserve">Click this option to access the </w:t>
      </w:r>
      <w:r w:rsidR="00580F8A" w:rsidRPr="00580F8A">
        <w:rPr>
          <w:b/>
          <w:bCs/>
        </w:rPr>
        <w:t>IPO Reports</w:t>
      </w:r>
      <w:r w:rsidR="00580F8A">
        <w:t xml:space="preserve"> screen.  See “</w:t>
      </w:r>
      <w:r w:rsidR="00580F8A">
        <w:rPr>
          <w:b/>
          <w:bCs/>
        </w:rPr>
        <w:t>IPO Repots</w:t>
      </w:r>
      <w:r w:rsidR="00580F8A">
        <w:t>” for the screen details.</w:t>
      </w:r>
    </w:p>
    <w:p w14:paraId="7A297FB7" w14:textId="77777777" w:rsidR="001420ED" w:rsidRDefault="001420ED" w:rsidP="001420ED">
      <w:pPr>
        <w:spacing w:after="0"/>
        <w:contextualSpacing/>
        <w:rPr>
          <w:b/>
          <w:bCs/>
          <w:u w:val="single"/>
        </w:rPr>
      </w:pPr>
    </w:p>
    <w:p w14:paraId="1C8899E6" w14:textId="1E81D044" w:rsidR="001975C7" w:rsidRPr="001D54D1" w:rsidRDefault="001975C7" w:rsidP="001420ED">
      <w:pPr>
        <w:spacing w:after="0"/>
        <w:contextualSpacing/>
      </w:pPr>
      <w:r>
        <w:rPr>
          <w:b/>
          <w:bCs/>
          <w:u w:val="single"/>
        </w:rPr>
        <w:t>Purchase Order Settings:</w:t>
      </w:r>
      <w:r w:rsidR="001D54D1">
        <w:t xml:space="preserve"> Click the three-gear icon to open the </w:t>
      </w:r>
      <w:r w:rsidR="001D54D1">
        <w:rPr>
          <w:b/>
          <w:bCs/>
        </w:rPr>
        <w:t xml:space="preserve">Purchase Order Settings </w:t>
      </w:r>
      <w:r w:rsidR="001D54D1">
        <w:t xml:space="preserve">screen.  See </w:t>
      </w:r>
      <w:r w:rsidR="001D54D1">
        <w:rPr>
          <w:b/>
          <w:bCs/>
        </w:rPr>
        <w:t>“IPO Setup—Purchase Order Settings”</w:t>
      </w:r>
      <w:r w:rsidR="001D54D1">
        <w:t xml:space="preserve"> for the screen details.</w:t>
      </w:r>
    </w:p>
    <w:p w14:paraId="46C5E34A" w14:textId="77777777" w:rsidR="001420ED" w:rsidRDefault="001420ED" w:rsidP="001420ED">
      <w:pPr>
        <w:spacing w:after="0"/>
        <w:contextualSpacing/>
        <w:rPr>
          <w:b/>
          <w:bCs/>
          <w:u w:val="single"/>
        </w:rPr>
      </w:pPr>
    </w:p>
    <w:p w14:paraId="42BE20FB" w14:textId="25158CC3" w:rsidR="001975C7" w:rsidRDefault="001975C7" w:rsidP="001420ED">
      <w:pPr>
        <w:spacing w:after="0"/>
        <w:contextualSpacing/>
      </w:pPr>
      <w:r>
        <w:rPr>
          <w:b/>
          <w:bCs/>
          <w:u w:val="single"/>
        </w:rPr>
        <w:t>Switch to View:</w:t>
      </w:r>
      <w:r w:rsidR="001D54D1">
        <w:t xml:space="preserve"> When you have the </w:t>
      </w:r>
      <w:r w:rsidR="001D54D1">
        <w:rPr>
          <w:b/>
          <w:bCs/>
        </w:rPr>
        <w:t>Dashboard</w:t>
      </w:r>
      <w:r w:rsidR="001D54D1">
        <w:t xml:space="preserve"> open, use this icon to switch between the two available Dashboard views: </w:t>
      </w:r>
      <w:r w:rsidR="001D54D1">
        <w:rPr>
          <w:b/>
          <w:bCs/>
        </w:rPr>
        <w:t>Column</w:t>
      </w:r>
      <w:r w:rsidR="001D54D1">
        <w:t xml:space="preserve"> and </w:t>
      </w:r>
      <w:r w:rsidR="001D54D1">
        <w:rPr>
          <w:b/>
          <w:bCs/>
        </w:rPr>
        <w:t>List</w:t>
      </w:r>
      <w:r w:rsidR="001D54D1">
        <w:t>.</w:t>
      </w:r>
    </w:p>
    <w:p w14:paraId="08768A1D" w14:textId="77777777" w:rsidR="001420ED" w:rsidRDefault="001420ED" w:rsidP="001420ED">
      <w:pPr>
        <w:spacing w:after="0"/>
        <w:contextualSpacing/>
        <w:rPr>
          <w:u w:val="single"/>
        </w:rPr>
      </w:pPr>
    </w:p>
    <w:p w14:paraId="275E70A3" w14:textId="30AD6E8B" w:rsidR="001D54D1" w:rsidRDefault="001D54D1" w:rsidP="001420ED">
      <w:pPr>
        <w:spacing w:after="0"/>
        <w:contextualSpacing/>
      </w:pPr>
      <w:r>
        <w:rPr>
          <w:u w:val="single"/>
        </w:rPr>
        <w:t>Switch to Grid View:</w:t>
      </w:r>
      <w:r>
        <w:t xml:space="preserve"> The </w:t>
      </w:r>
      <w:r>
        <w:rPr>
          <w:noProof/>
        </w:rPr>
        <w:drawing>
          <wp:inline distT="0" distB="0" distL="0" distR="0" wp14:anchorId="512507F6" wp14:editId="4CCF448C">
            <wp:extent cx="323850" cy="229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tch to List.PNG"/>
                    <pic:cNvPicPr/>
                  </pic:nvPicPr>
                  <pic:blipFill>
                    <a:blip r:embed="rId7">
                      <a:extLst>
                        <a:ext uri="{28A0092B-C50C-407E-A947-70E740481C1C}">
                          <a14:useLocalDpi xmlns:a14="http://schemas.microsoft.com/office/drawing/2010/main" val="0"/>
                        </a:ext>
                      </a:extLst>
                    </a:blip>
                    <a:stretch>
                      <a:fillRect/>
                    </a:stretch>
                  </pic:blipFill>
                  <pic:spPr>
                    <a:xfrm>
                      <a:off x="0" y="0"/>
                      <a:ext cx="330236" cy="233917"/>
                    </a:xfrm>
                    <a:prstGeom prst="rect">
                      <a:avLst/>
                    </a:prstGeom>
                  </pic:spPr>
                </pic:pic>
              </a:graphicData>
            </a:graphic>
          </wp:inline>
        </w:drawing>
      </w:r>
      <w:r>
        <w:t xml:space="preserve"> icon visible from the </w:t>
      </w:r>
      <w:r>
        <w:rPr>
          <w:b/>
          <w:bCs/>
        </w:rPr>
        <w:t xml:space="preserve">Column </w:t>
      </w:r>
      <w:r>
        <w:t>view screen is the Switch to List View icon.  Click it to switch to the List View.</w:t>
      </w:r>
    </w:p>
    <w:p w14:paraId="18344CAB" w14:textId="77777777" w:rsidR="001420ED" w:rsidRDefault="001420ED" w:rsidP="001420ED">
      <w:pPr>
        <w:spacing w:after="0"/>
        <w:contextualSpacing/>
        <w:rPr>
          <w:u w:val="single"/>
        </w:rPr>
      </w:pPr>
    </w:p>
    <w:p w14:paraId="6C45C863" w14:textId="469D362E" w:rsidR="001D54D1" w:rsidRPr="001D54D1" w:rsidRDefault="001D54D1" w:rsidP="001420ED">
      <w:pPr>
        <w:spacing w:after="0"/>
        <w:contextualSpacing/>
      </w:pPr>
      <w:r>
        <w:rPr>
          <w:u w:val="single"/>
        </w:rPr>
        <w:t>Switch to Column:</w:t>
      </w:r>
      <w:r>
        <w:t xml:space="preserve"> The </w:t>
      </w:r>
      <w:r>
        <w:rPr>
          <w:noProof/>
        </w:rPr>
        <w:drawing>
          <wp:inline distT="0" distB="0" distL="0" distR="0" wp14:anchorId="10D9AF68" wp14:editId="3406FE5D">
            <wp:extent cx="295275" cy="23903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itch to Column.PNG"/>
                    <pic:cNvPicPr/>
                  </pic:nvPicPr>
                  <pic:blipFill>
                    <a:blip r:embed="rId8">
                      <a:extLst>
                        <a:ext uri="{28A0092B-C50C-407E-A947-70E740481C1C}">
                          <a14:useLocalDpi xmlns:a14="http://schemas.microsoft.com/office/drawing/2010/main" val="0"/>
                        </a:ext>
                      </a:extLst>
                    </a:blip>
                    <a:stretch>
                      <a:fillRect/>
                    </a:stretch>
                  </pic:blipFill>
                  <pic:spPr>
                    <a:xfrm>
                      <a:off x="0" y="0"/>
                      <a:ext cx="301649" cy="244192"/>
                    </a:xfrm>
                    <a:prstGeom prst="rect">
                      <a:avLst/>
                    </a:prstGeom>
                  </pic:spPr>
                </pic:pic>
              </a:graphicData>
            </a:graphic>
          </wp:inline>
        </w:drawing>
      </w:r>
      <w:r>
        <w:t xml:space="preserve"> icon visible from the </w:t>
      </w:r>
      <w:r>
        <w:rPr>
          <w:b/>
          <w:bCs/>
        </w:rPr>
        <w:t>List</w:t>
      </w:r>
      <w:r>
        <w:t xml:space="preserve"> view screen is the Switch to Column View icon. Click it to switch to Column View.</w:t>
      </w:r>
    </w:p>
    <w:sectPr w:rsidR="001D54D1" w:rsidRPr="001D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B67E5"/>
    <w:multiLevelType w:val="hybridMultilevel"/>
    <w:tmpl w:val="1278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E0"/>
    <w:rsid w:val="000004E2"/>
    <w:rsid w:val="001420ED"/>
    <w:rsid w:val="0019425C"/>
    <w:rsid w:val="001975C7"/>
    <w:rsid w:val="001D54D1"/>
    <w:rsid w:val="00293312"/>
    <w:rsid w:val="00443035"/>
    <w:rsid w:val="00580F8A"/>
    <w:rsid w:val="005E3C0B"/>
    <w:rsid w:val="007B2E6B"/>
    <w:rsid w:val="0085073E"/>
    <w:rsid w:val="008E2642"/>
    <w:rsid w:val="00966EBB"/>
    <w:rsid w:val="00B74EB1"/>
    <w:rsid w:val="00BA1A4A"/>
    <w:rsid w:val="00BA28E0"/>
    <w:rsid w:val="00C5310D"/>
    <w:rsid w:val="00C72514"/>
    <w:rsid w:val="00D6110D"/>
    <w:rsid w:val="00F1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C2D2"/>
  <w15:chartTrackingRefBased/>
  <w15:docId w15:val="{4684E1A5-F0E3-43F7-9FAE-00E5D0E5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19</cp:revision>
  <cp:lastPrinted>2020-09-21T18:52:00Z</cp:lastPrinted>
  <dcterms:created xsi:type="dcterms:W3CDTF">2020-07-10T18:17:00Z</dcterms:created>
  <dcterms:modified xsi:type="dcterms:W3CDTF">2020-09-28T18:28:00Z</dcterms:modified>
</cp:coreProperties>
</file>