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2"/>
          <w:szCs w:val="52"/>
        </w:rPr>
        <w:t xml:space="preserve">Statistical Analysis Report</w:t>
      </w:r>
    </w:p>
    <w:p>
      <w:pPr>
        <w:spacing w:after="600"/>
        <w:jc w:val="center"/>
      </w:pPr>
      <w:r>
        <w:rPr>
          <w:color w:val="595959"/>
          <w:sz w:val="24"/>
          <w:szCs w:val="24"/>
        </w:rPr>
        <w:t xml:space="preserve">DataCo Smart Supply Chain (180,519 order lines) + Website Access Logs (469,977 events)</w:t>
      </w:r>
    </w:p>
    <w:p>
      <w:pPr>
        <w:jc w:val="center"/>
      </w:pPr>
      <w:r>
        <w:rPr>
          <w:i/>
          <w:iCs/>
          <w:sz w:val="21"/>
          <w:szCs w:val="21"/>
        </w:rPr>
        <w:t xml:space="preserve">Covers all statistical calculations underlying the Descriptive, Diagnostic, Predictive and Prescriptive deliverables.</w:t>
      </w:r>
    </w:p>
    <w:p>
      <w:r>
        <w:br w:type="page"/>
      </w:r>
    </w:p>
    <w:p>
      <w:pPr>
        <w:pStyle w:val="Heading1"/>
        <w:spacing w:after="150" w:before="300"/>
      </w:pPr>
      <w:r>
        <w:t xml:space="preserve">1. Descriptive Statistics</w:t>
      </w:r>
    </w:p>
    <w:p>
      <w:pPr>
        <w:pStyle w:val="Heading2"/>
        <w:spacing w:after="120" w:before="240"/>
      </w:pPr>
      <w:r>
        <w:t xml:space="preserve">1.1 Central Tendency &amp; Dispersion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tblGrid>
      <w:tr>
        <w:tc>
          <w:tcPr>
            <w:tcW w:type="dxa" w:w="2600"/>
            <w:shd w:fill="1F3864" w:val="clear"/>
          </w:tcPr>
          <w:p>
            <w:r>
              <w:rPr>
                <w:b/>
                <w:bCs/>
                <w:color w:val="FFFFFF"/>
                <w:sz w:val="20"/>
                <w:szCs w:val="20"/>
              </w:rPr>
              <w:t xml:space="preserve">Metric</w:t>
            </w:r>
          </w:p>
        </w:tc>
        <w:tc>
          <w:tcPr>
            <w:tcW w:type="dxa" w:w="1700"/>
            <w:shd w:fill="1F3864" w:val="clear"/>
          </w:tcPr>
          <w:p>
            <w:r>
              <w:rPr>
                <w:b/>
                <w:bCs/>
                <w:color w:val="FFFFFF"/>
                <w:sz w:val="20"/>
                <w:szCs w:val="20"/>
              </w:rPr>
              <w:t xml:space="preserve">Sales</w:t>
            </w:r>
          </w:p>
        </w:tc>
        <w:tc>
          <w:tcPr>
            <w:tcW w:type="dxa" w:w="1700"/>
            <w:shd w:fill="1F3864" w:val="clear"/>
          </w:tcPr>
          <w:p>
            <w:r>
              <w:rPr>
                <w:b/>
                <w:bCs/>
                <w:color w:val="FFFFFF"/>
                <w:sz w:val="20"/>
                <w:szCs w:val="20"/>
              </w:rPr>
              <w:t xml:space="preserve">Quantity</w:t>
            </w:r>
          </w:p>
        </w:tc>
        <w:tc>
          <w:tcPr>
            <w:tcW w:type="dxa" w:w="1700"/>
            <w:shd w:fill="1F3864" w:val="clear"/>
          </w:tcPr>
          <w:p>
            <w:r>
              <w:rPr>
                <w:b/>
                <w:bCs/>
                <w:color w:val="FFFFFF"/>
                <w:sz w:val="20"/>
                <w:szCs w:val="20"/>
              </w:rPr>
              <w:t xml:space="preserve">Discount Rate</w:t>
            </w:r>
          </w:p>
        </w:tc>
        <w:tc>
          <w:tcPr>
            <w:tcW w:type="dxa" w:w="1700"/>
            <w:shd w:fill="1F3864" w:val="clear"/>
          </w:tcPr>
          <w:p>
            <w:r>
              <w:rPr>
                <w:b/>
                <w:bCs/>
                <w:color w:val="FFFFFF"/>
                <w:sz w:val="20"/>
                <w:szCs w:val="20"/>
              </w:rPr>
              <w:t xml:space="preserve">Profit</w:t>
            </w:r>
          </w:p>
        </w:tc>
      </w:tr>
      <w:tr>
        <w:tc>
          <w:tcPr>
            <w:tcW w:type="dxa" w:w="2600"/>
          </w:tcPr>
          <w:p>
            <w:r>
              <w:rPr>
                <w:b w:val="false"/>
                <w:bCs w:val="false"/>
                <w:color w:val="000000"/>
                <w:sz w:val="20"/>
                <w:szCs w:val="20"/>
              </w:rPr>
              <w:t xml:space="preserve">Mean</w:t>
            </w:r>
          </w:p>
        </w:tc>
        <w:tc>
          <w:tcPr>
            <w:tcW w:type="dxa" w:w="1700"/>
          </w:tcPr>
          <w:p>
            <w:r>
              <w:rPr>
                <w:b w:val="false"/>
                <w:bCs w:val="false"/>
                <w:color w:val="000000"/>
                <w:sz w:val="20"/>
                <w:szCs w:val="20"/>
              </w:rPr>
              <w:t xml:space="preserve">203.77</w:t>
            </w:r>
          </w:p>
        </w:tc>
        <w:tc>
          <w:tcPr>
            <w:tcW w:type="dxa" w:w="1700"/>
          </w:tcPr>
          <w:p>
            <w:r>
              <w:rPr>
                <w:b w:val="false"/>
                <w:bCs w:val="false"/>
                <w:color w:val="000000"/>
                <w:sz w:val="20"/>
                <w:szCs w:val="20"/>
              </w:rPr>
              <w:t xml:space="preserve">2.13</w:t>
            </w:r>
          </w:p>
        </w:tc>
        <w:tc>
          <w:tcPr>
            <w:tcW w:type="dxa" w:w="1700"/>
          </w:tcPr>
          <w:p>
            <w:r>
              <w:rPr>
                <w:b w:val="false"/>
                <w:bCs w:val="false"/>
                <w:color w:val="000000"/>
                <w:sz w:val="20"/>
                <w:szCs w:val="20"/>
              </w:rPr>
              <w:t xml:space="preserve">0.102</w:t>
            </w:r>
          </w:p>
        </w:tc>
        <w:tc>
          <w:tcPr>
            <w:tcW w:type="dxa" w:w="1700"/>
          </w:tcPr>
          <w:p>
            <w:r>
              <w:rPr>
                <w:b w:val="false"/>
                <w:bCs w:val="false"/>
                <w:color w:val="000000"/>
                <w:sz w:val="20"/>
                <w:szCs w:val="20"/>
              </w:rPr>
              <w:t xml:space="preserve">21.98</w:t>
            </w:r>
          </w:p>
        </w:tc>
      </w:tr>
      <w:tr>
        <w:tc>
          <w:tcPr>
            <w:tcW w:type="dxa" w:w="2600"/>
            <w:shd w:fill="F2F2F2" w:val="clear"/>
          </w:tcPr>
          <w:p>
            <w:r>
              <w:rPr>
                <w:b w:val="false"/>
                <w:bCs w:val="false"/>
                <w:color w:val="000000"/>
                <w:sz w:val="20"/>
                <w:szCs w:val="20"/>
              </w:rPr>
              <w:t xml:space="preserve">Median</w:t>
            </w:r>
          </w:p>
        </w:tc>
        <w:tc>
          <w:tcPr>
            <w:tcW w:type="dxa" w:w="1700"/>
            <w:shd w:fill="F2F2F2" w:val="clear"/>
          </w:tcPr>
          <w:p>
            <w:r>
              <w:rPr>
                <w:b w:val="false"/>
                <w:bCs w:val="false"/>
                <w:color w:val="000000"/>
                <w:sz w:val="20"/>
                <w:szCs w:val="20"/>
              </w:rPr>
              <w:t xml:space="preserve">199.92</w:t>
            </w:r>
          </w:p>
        </w:tc>
        <w:tc>
          <w:tcPr>
            <w:tcW w:type="dxa" w:w="1700"/>
            <w:shd w:fill="F2F2F2" w:val="clear"/>
          </w:tcPr>
          <w:p>
            <w:r>
              <w:rPr>
                <w:b w:val="false"/>
                <w:bCs w:val="false"/>
                <w:color w:val="000000"/>
                <w:sz w:val="20"/>
                <w:szCs w:val="20"/>
              </w:rPr>
              <w:t xml:space="preserve">1.00</w:t>
            </w:r>
          </w:p>
        </w:tc>
        <w:tc>
          <w:tcPr>
            <w:tcW w:type="dxa" w:w="1700"/>
            <w:shd w:fill="F2F2F2" w:val="clear"/>
          </w:tcPr>
          <w:p>
            <w:r>
              <w:rPr>
                <w:b w:val="false"/>
                <w:bCs w:val="false"/>
                <w:color w:val="000000"/>
                <w:sz w:val="20"/>
                <w:szCs w:val="20"/>
              </w:rPr>
              <w:t xml:space="preserve">0.100</w:t>
            </w:r>
          </w:p>
        </w:tc>
        <w:tc>
          <w:tcPr>
            <w:tcW w:type="dxa" w:w="1700"/>
            <w:shd w:fill="F2F2F2" w:val="clear"/>
          </w:tcPr>
          <w:p>
            <w:r>
              <w:rPr>
                <w:b w:val="false"/>
                <w:bCs w:val="false"/>
                <w:color w:val="000000"/>
                <w:sz w:val="20"/>
                <w:szCs w:val="20"/>
              </w:rPr>
              <w:t xml:space="preserve">31.52</w:t>
            </w:r>
          </w:p>
        </w:tc>
      </w:tr>
      <w:tr>
        <w:tc>
          <w:tcPr>
            <w:tcW w:type="dxa" w:w="2600"/>
          </w:tcPr>
          <w:p>
            <w:r>
              <w:rPr>
                <w:b w:val="false"/>
                <w:bCs w:val="false"/>
                <w:color w:val="000000"/>
                <w:sz w:val="20"/>
                <w:szCs w:val="20"/>
              </w:rPr>
              <w:t xml:space="preserve">Std. Deviation</w:t>
            </w:r>
          </w:p>
        </w:tc>
        <w:tc>
          <w:tcPr>
            <w:tcW w:type="dxa" w:w="1700"/>
          </w:tcPr>
          <w:p>
            <w:r>
              <w:rPr>
                <w:b w:val="false"/>
                <w:bCs w:val="false"/>
                <w:color w:val="000000"/>
                <w:sz w:val="20"/>
                <w:szCs w:val="20"/>
              </w:rPr>
              <w:t xml:space="preserve">132.27</w:t>
            </w:r>
          </w:p>
        </w:tc>
        <w:tc>
          <w:tcPr>
            <w:tcW w:type="dxa" w:w="1700"/>
          </w:tcPr>
          <w:p>
            <w:r>
              <w:rPr>
                <w:b w:val="false"/>
                <w:bCs w:val="false"/>
                <w:color w:val="000000"/>
                <w:sz w:val="20"/>
                <w:szCs w:val="20"/>
              </w:rPr>
              <w:t xml:space="preserve">1.45</w:t>
            </w:r>
          </w:p>
        </w:tc>
        <w:tc>
          <w:tcPr>
            <w:tcW w:type="dxa" w:w="1700"/>
          </w:tcPr>
          <w:p>
            <w:r>
              <w:rPr>
                <w:b w:val="false"/>
                <w:bCs w:val="false"/>
                <w:color w:val="000000"/>
                <w:sz w:val="20"/>
                <w:szCs w:val="20"/>
              </w:rPr>
              <w:t xml:space="preserve">0.070</w:t>
            </w:r>
          </w:p>
        </w:tc>
        <w:tc>
          <w:tcPr>
            <w:tcW w:type="dxa" w:w="1700"/>
          </w:tcPr>
          <w:p>
            <w:r>
              <w:rPr>
                <w:b w:val="false"/>
                <w:bCs w:val="false"/>
                <w:color w:val="000000"/>
                <w:sz w:val="20"/>
                <w:szCs w:val="20"/>
              </w:rPr>
              <w:t xml:space="preserve">104.43</w:t>
            </w:r>
          </w:p>
        </w:tc>
      </w:tr>
      <w:tr>
        <w:tc>
          <w:tcPr>
            <w:tcW w:type="dxa" w:w="2600"/>
            <w:shd w:fill="F2F2F2" w:val="clear"/>
          </w:tcPr>
          <w:p>
            <w:r>
              <w:rPr>
                <w:b w:val="false"/>
                <w:bCs w:val="false"/>
                <w:color w:val="000000"/>
                <w:sz w:val="20"/>
                <w:szCs w:val="20"/>
              </w:rPr>
              <w:t xml:space="preserve">Variance</w:t>
            </w:r>
          </w:p>
        </w:tc>
        <w:tc>
          <w:tcPr>
            <w:tcW w:type="dxa" w:w="1700"/>
            <w:shd w:fill="F2F2F2" w:val="clear"/>
          </w:tcPr>
          <w:p>
            <w:r>
              <w:rPr>
                <w:b w:val="false"/>
                <w:bCs w:val="false"/>
                <w:color w:val="000000"/>
                <w:sz w:val="20"/>
                <w:szCs w:val="20"/>
              </w:rPr>
              <w:t xml:space="preserve">17,496.17</w:t>
            </w:r>
          </w:p>
        </w:tc>
        <w:tc>
          <w:tcPr>
            <w:tcW w:type="dxa" w:w="1700"/>
            <w:shd w:fill="F2F2F2" w:val="clear"/>
          </w:tcPr>
          <w:p>
            <w:r>
              <w:rPr>
                <w:b w:val="false"/>
                <w:bCs w:val="false"/>
                <w:color w:val="000000"/>
                <w:sz w:val="20"/>
                <w:szCs w:val="20"/>
              </w:rPr>
              <w:t xml:space="preserve">2.11</w:t>
            </w:r>
          </w:p>
        </w:tc>
        <w:tc>
          <w:tcPr>
            <w:tcW w:type="dxa" w:w="1700"/>
            <w:shd w:fill="F2F2F2" w:val="clear"/>
          </w:tcPr>
          <w:p>
            <w:r>
              <w:rPr>
                <w:b w:val="false"/>
                <w:bCs w:val="false"/>
                <w:color w:val="000000"/>
                <w:sz w:val="20"/>
                <w:szCs w:val="20"/>
              </w:rPr>
              <w:t xml:space="preserve">0.005</w:t>
            </w:r>
          </w:p>
        </w:tc>
        <w:tc>
          <w:tcPr>
            <w:tcW w:type="dxa" w:w="1700"/>
            <w:shd w:fill="F2F2F2" w:val="clear"/>
          </w:tcPr>
          <w:p>
            <w:r>
              <w:rPr>
                <w:b w:val="false"/>
                <w:bCs w:val="false"/>
                <w:color w:val="000000"/>
                <w:sz w:val="20"/>
                <w:szCs w:val="20"/>
              </w:rPr>
              <w:t xml:space="preserve">10,906.36</w:t>
            </w:r>
          </w:p>
        </w:tc>
      </w:tr>
      <w:tr>
        <w:tc>
          <w:tcPr>
            <w:tcW w:type="dxa" w:w="2600"/>
          </w:tcPr>
          <w:p>
            <w:r>
              <w:rPr>
                <w:b w:val="false"/>
                <w:bCs w:val="false"/>
                <w:color w:val="000000"/>
                <w:sz w:val="20"/>
                <w:szCs w:val="20"/>
              </w:rPr>
              <w:t xml:space="preserve">Min</w:t>
            </w:r>
          </w:p>
        </w:tc>
        <w:tc>
          <w:tcPr>
            <w:tcW w:type="dxa" w:w="1700"/>
          </w:tcPr>
          <w:p>
            <w:r>
              <w:rPr>
                <w:b w:val="false"/>
                <w:bCs w:val="false"/>
                <w:color w:val="000000"/>
                <w:sz w:val="20"/>
                <w:szCs w:val="20"/>
              </w:rPr>
              <w:t xml:space="preserve">9.99</w:t>
            </w:r>
          </w:p>
        </w:tc>
        <w:tc>
          <w:tcPr>
            <w:tcW w:type="dxa" w:w="1700"/>
          </w:tcPr>
          <w:p>
            <w:r>
              <w:rPr>
                <w:b w:val="false"/>
                <w:bCs w:val="false"/>
                <w:color w:val="000000"/>
                <w:sz w:val="20"/>
                <w:szCs w:val="20"/>
              </w:rPr>
              <w:t xml:space="preserve">1</w:t>
            </w:r>
          </w:p>
        </w:tc>
        <w:tc>
          <w:tcPr>
            <w:tcW w:type="dxa" w:w="1700"/>
          </w:tcPr>
          <w:p>
            <w:r>
              <w:rPr>
                <w:b w:val="false"/>
                <w:bCs w:val="false"/>
                <w:color w:val="000000"/>
                <w:sz w:val="20"/>
                <w:szCs w:val="20"/>
              </w:rPr>
              <w:t xml:space="preserve">0.00</w:t>
            </w:r>
          </w:p>
        </w:tc>
        <w:tc>
          <w:tcPr>
            <w:tcW w:type="dxa" w:w="1700"/>
          </w:tcPr>
          <w:p>
            <w:r>
              <w:rPr>
                <w:b w:val="false"/>
                <w:bCs w:val="false"/>
                <w:color w:val="000000"/>
                <w:sz w:val="20"/>
                <w:szCs w:val="20"/>
              </w:rPr>
              <w:t xml:space="preserve">-4,274.98</w:t>
            </w:r>
          </w:p>
        </w:tc>
      </w:tr>
      <w:tr>
        <w:tc>
          <w:tcPr>
            <w:tcW w:type="dxa" w:w="2600"/>
            <w:shd w:fill="F2F2F2" w:val="clear"/>
          </w:tcPr>
          <w:p>
            <w:r>
              <w:rPr>
                <w:b w:val="false"/>
                <w:bCs w:val="false"/>
                <w:color w:val="000000"/>
                <w:sz w:val="20"/>
                <w:szCs w:val="20"/>
              </w:rPr>
              <w:t xml:space="preserve">Max</w:t>
            </w:r>
          </w:p>
        </w:tc>
        <w:tc>
          <w:tcPr>
            <w:tcW w:type="dxa" w:w="1700"/>
            <w:shd w:fill="F2F2F2" w:val="clear"/>
          </w:tcPr>
          <w:p>
            <w:r>
              <w:rPr>
                <w:b w:val="false"/>
                <w:bCs w:val="false"/>
                <w:color w:val="000000"/>
                <w:sz w:val="20"/>
                <w:szCs w:val="20"/>
              </w:rPr>
              <w:t xml:space="preserve">1,999.99</w:t>
            </w:r>
          </w:p>
        </w:tc>
        <w:tc>
          <w:tcPr>
            <w:tcW w:type="dxa" w:w="1700"/>
            <w:shd w:fill="F2F2F2" w:val="clear"/>
          </w:tcPr>
          <w:p>
            <w:r>
              <w:rPr>
                <w:b w:val="false"/>
                <w:bCs w:val="false"/>
                <w:color w:val="000000"/>
                <w:sz w:val="20"/>
                <w:szCs w:val="20"/>
              </w:rPr>
              <w:t xml:space="preserve">5</w:t>
            </w:r>
          </w:p>
        </w:tc>
        <w:tc>
          <w:tcPr>
            <w:tcW w:type="dxa" w:w="1700"/>
            <w:shd w:fill="F2F2F2" w:val="clear"/>
          </w:tcPr>
          <w:p>
            <w:r>
              <w:rPr>
                <w:b w:val="false"/>
                <w:bCs w:val="false"/>
                <w:color w:val="000000"/>
                <w:sz w:val="20"/>
                <w:szCs w:val="20"/>
              </w:rPr>
              <w:t xml:space="preserve">0.25</w:t>
            </w:r>
          </w:p>
        </w:tc>
        <w:tc>
          <w:tcPr>
            <w:tcW w:type="dxa" w:w="1700"/>
            <w:shd w:fill="F2F2F2" w:val="clear"/>
          </w:tcPr>
          <w:p>
            <w:r>
              <w:rPr>
                <w:b w:val="false"/>
                <w:bCs w:val="false"/>
                <w:color w:val="000000"/>
                <w:sz w:val="20"/>
                <w:szCs w:val="20"/>
              </w:rPr>
              <w:t xml:space="preserve">911.80</w:t>
            </w:r>
          </w:p>
        </w:tc>
      </w:tr>
      <w:tr>
        <w:tc>
          <w:tcPr>
            <w:tcW w:type="dxa" w:w="2600"/>
          </w:tcPr>
          <w:p>
            <w:r>
              <w:rPr>
                <w:b w:val="false"/>
                <w:bCs w:val="false"/>
                <w:color w:val="000000"/>
                <w:sz w:val="20"/>
                <w:szCs w:val="20"/>
              </w:rPr>
              <w:t xml:space="preserve">Skewness</w:t>
            </w:r>
          </w:p>
        </w:tc>
        <w:tc>
          <w:tcPr>
            <w:tcW w:type="dxa" w:w="1700"/>
          </w:tcPr>
          <w:p>
            <w:r>
              <w:rPr>
                <w:b w:val="false"/>
                <w:bCs w:val="false"/>
                <w:color w:val="000000"/>
                <w:sz w:val="20"/>
                <w:szCs w:val="20"/>
              </w:rPr>
              <w:t xml:space="preserve">2.88</w:t>
            </w:r>
          </w:p>
        </w:tc>
        <w:tc>
          <w:tcPr>
            <w:tcW w:type="dxa" w:w="1700"/>
          </w:tcPr>
          <w:p>
            <w:r>
              <w:rPr>
                <w:b w:val="false"/>
                <w:bCs w:val="false"/>
                <w:color w:val="000000"/>
                <w:sz w:val="20"/>
                <w:szCs w:val="20"/>
              </w:rPr>
              <w:t xml:space="preserve">0.88</w:t>
            </w:r>
          </w:p>
        </w:tc>
        <w:tc>
          <w:tcPr>
            <w:tcW w:type="dxa" w:w="1700"/>
          </w:tcPr>
          <w:p>
            <w:r>
              <w:rPr>
                <w:b w:val="false"/>
                <w:bCs w:val="false"/>
                <w:color w:val="000000"/>
                <w:sz w:val="20"/>
                <w:szCs w:val="20"/>
              </w:rPr>
              <w:t xml:space="preserve">0.34</w:t>
            </w:r>
          </w:p>
        </w:tc>
        <w:tc>
          <w:tcPr>
            <w:tcW w:type="dxa" w:w="1700"/>
          </w:tcPr>
          <w:p>
            <w:r>
              <w:rPr>
                <w:b w:val="false"/>
                <w:bCs w:val="false"/>
                <w:color w:val="000000"/>
                <w:sz w:val="20"/>
                <w:szCs w:val="20"/>
              </w:rPr>
              <w:t xml:space="preserve">-4.74</w:t>
            </w:r>
          </w:p>
        </w:tc>
      </w:tr>
    </w:tbl>
    <w:p>
      <w:pPr>
        <w:spacing w:after="200"/>
      </w:pPr>
      <w:r>
        <w:rPr>
          <w:i/>
          <w:iCs/>
          <w:color w:val="595959"/>
          <w:sz w:val="19"/>
          <w:szCs w:val="19"/>
        </w:rPr>
        <w:t xml:space="preserve">Profit's strongly negative skew (-4.74) means large losses are more extreme than large gains - a handful of very bad orders pull the distribution's tail left, while the median profit ($31.52) is noticeably healthier than the mean ($21.98).</w:t>
      </w:r>
    </w:p>
    <w:p>
      <w:pPr>
        <w:pStyle w:val="Heading2"/>
        <w:spacing w:after="120" w:before="240"/>
      </w:pPr>
      <w:r>
        <w:t xml:space="preserve">1.2 95% Confidence Interval for Mean Profit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tblGrid>
      <w:tr>
        <w:tc>
          <w:tcPr>
            <w:tcW w:type="dxa" w:w="4000"/>
            <w:shd w:fill="1F3864" w:val="clear"/>
          </w:tcPr>
          <w:p>
            <w:r>
              <w:rPr>
                <w:b/>
                <w:bCs/>
                <w:color w:val="FFFFFF"/>
                <w:sz w:val="20"/>
                <w:szCs w:val="20"/>
              </w:rPr>
              <w:t xml:space="preserve">Statistic</w:t>
            </w:r>
          </w:p>
        </w:tc>
        <w:tc>
          <w:tcPr>
            <w:tcW w:type="dxa" w:w="3000"/>
            <w:shd w:fill="1F3864" w:val="clear"/>
          </w:tcPr>
          <w:p>
            <w:r>
              <w:rPr>
                <w:b/>
                <w:bCs/>
                <w:color w:val="FFFFFF"/>
                <w:sz w:val="20"/>
                <w:szCs w:val="20"/>
              </w:rPr>
              <w:t xml:space="preserve">Value</w:t>
            </w:r>
          </w:p>
        </w:tc>
      </w:tr>
      <w:tr>
        <w:tc>
          <w:tcPr>
            <w:tcW w:type="dxa" w:w="4000"/>
          </w:tcPr>
          <w:p>
            <w:r>
              <w:rPr>
                <w:b w:val="false"/>
                <w:bCs w:val="false"/>
                <w:color w:val="000000"/>
                <w:sz w:val="20"/>
                <w:szCs w:val="20"/>
              </w:rPr>
              <w:t xml:space="preserve">Sample Mean</w:t>
            </w:r>
          </w:p>
        </w:tc>
        <w:tc>
          <w:tcPr>
            <w:tcW w:type="dxa" w:w="3000"/>
          </w:tcPr>
          <w:p>
            <w:r>
              <w:rPr>
                <w:b w:val="false"/>
                <w:bCs w:val="false"/>
                <w:color w:val="000000"/>
                <w:sz w:val="20"/>
                <w:szCs w:val="20"/>
              </w:rPr>
              <w:t xml:space="preserve">$21.98</w:t>
            </w:r>
          </w:p>
        </w:tc>
      </w:tr>
      <w:tr>
        <w:tc>
          <w:tcPr>
            <w:tcW w:type="dxa" w:w="4000"/>
            <w:shd w:fill="F2F2F2" w:val="clear"/>
          </w:tcPr>
          <w:p>
            <w:r>
              <w:rPr>
                <w:b w:val="false"/>
                <w:bCs w:val="false"/>
                <w:color w:val="000000"/>
                <w:sz w:val="20"/>
                <w:szCs w:val="20"/>
              </w:rPr>
              <w:t xml:space="preserve">95% CI Lower Bound</w:t>
            </w:r>
          </w:p>
        </w:tc>
        <w:tc>
          <w:tcPr>
            <w:tcW w:type="dxa" w:w="3000"/>
            <w:shd w:fill="F2F2F2" w:val="clear"/>
          </w:tcPr>
          <w:p>
            <w:r>
              <w:rPr>
                <w:b w:val="false"/>
                <w:bCs w:val="false"/>
                <w:color w:val="000000"/>
                <w:sz w:val="20"/>
                <w:szCs w:val="20"/>
              </w:rPr>
              <w:t xml:space="preserve">$21.49</w:t>
            </w:r>
          </w:p>
        </w:tc>
      </w:tr>
      <w:tr>
        <w:tc>
          <w:tcPr>
            <w:tcW w:type="dxa" w:w="4000"/>
          </w:tcPr>
          <w:p>
            <w:r>
              <w:rPr>
                <w:b w:val="false"/>
                <w:bCs w:val="false"/>
                <w:color w:val="000000"/>
                <w:sz w:val="20"/>
                <w:szCs w:val="20"/>
              </w:rPr>
              <w:t xml:space="preserve">95% CI Upper Bound</w:t>
            </w:r>
          </w:p>
        </w:tc>
        <w:tc>
          <w:tcPr>
            <w:tcW w:type="dxa" w:w="3000"/>
          </w:tcPr>
          <w:p>
            <w:r>
              <w:rPr>
                <w:b w:val="false"/>
                <w:bCs w:val="false"/>
                <w:color w:val="000000"/>
                <w:sz w:val="20"/>
                <w:szCs w:val="20"/>
              </w:rPr>
              <w:t xml:space="preserve">$22.46</w:t>
            </w:r>
          </w:p>
        </w:tc>
      </w:tr>
    </w:tbl>
    <w:p>
      <w:pPr>
        <w:pStyle w:val="Heading2"/>
        <w:spacing w:after="120" w:before="240"/>
      </w:pPr>
      <w:r>
        <w:t xml:space="preserve">1.3 Business Overview</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c>
          <w:tcPr>
            <w:tcW w:type="dxa" w:w="4200"/>
            <w:shd w:fill="1F3864" w:val="clear"/>
          </w:tcPr>
          <w:p>
            <w:r>
              <w:rPr>
                <w:b/>
                <w:bCs/>
                <w:color w:val="FFFFFF"/>
                <w:sz w:val="20"/>
                <w:szCs w:val="20"/>
              </w:rPr>
              <w:t xml:space="preserve">Metric</w:t>
            </w:r>
          </w:p>
        </w:tc>
        <w:tc>
          <w:tcPr>
            <w:tcW w:type="dxa" w:w="2800"/>
            <w:shd w:fill="1F3864" w:val="clear"/>
          </w:tcPr>
          <w:p>
            <w:r>
              <w:rPr>
                <w:b/>
                <w:bCs/>
                <w:color w:val="FFFFFF"/>
                <w:sz w:val="20"/>
                <w:szCs w:val="20"/>
              </w:rPr>
              <w:t xml:space="preserve">Value</w:t>
            </w:r>
          </w:p>
        </w:tc>
      </w:tr>
      <w:tr>
        <w:tc>
          <w:tcPr>
            <w:tcW w:type="dxa" w:w="4200"/>
          </w:tcPr>
          <w:p>
            <w:r>
              <w:rPr>
                <w:b w:val="false"/>
                <w:bCs w:val="false"/>
                <w:color w:val="000000"/>
                <w:sz w:val="20"/>
                <w:szCs w:val="20"/>
              </w:rPr>
              <w:t xml:space="preserve">Order Lines</w:t>
            </w:r>
          </w:p>
        </w:tc>
        <w:tc>
          <w:tcPr>
            <w:tcW w:type="dxa" w:w="2800"/>
          </w:tcPr>
          <w:p>
            <w:r>
              <w:rPr>
                <w:b w:val="false"/>
                <w:bCs w:val="false"/>
                <w:color w:val="000000"/>
                <w:sz w:val="20"/>
                <w:szCs w:val="20"/>
              </w:rPr>
              <w:t xml:space="preserve">180,519</w:t>
            </w:r>
          </w:p>
        </w:tc>
      </w:tr>
      <w:tr>
        <w:tc>
          <w:tcPr>
            <w:tcW w:type="dxa" w:w="4200"/>
            <w:shd w:fill="F2F2F2" w:val="clear"/>
          </w:tcPr>
          <w:p>
            <w:r>
              <w:rPr>
                <w:b w:val="false"/>
                <w:bCs w:val="false"/>
                <w:color w:val="000000"/>
                <w:sz w:val="20"/>
                <w:szCs w:val="20"/>
              </w:rPr>
              <w:t xml:space="preserve">Unique Orders</w:t>
            </w:r>
          </w:p>
        </w:tc>
        <w:tc>
          <w:tcPr>
            <w:tcW w:type="dxa" w:w="2800"/>
            <w:shd w:fill="F2F2F2" w:val="clear"/>
          </w:tcPr>
          <w:p>
            <w:r>
              <w:rPr>
                <w:b w:val="false"/>
                <w:bCs w:val="false"/>
                <w:color w:val="000000"/>
                <w:sz w:val="20"/>
                <w:szCs w:val="20"/>
              </w:rPr>
              <w:t xml:space="preserve">65,752</w:t>
            </w:r>
          </w:p>
        </w:tc>
      </w:tr>
      <w:tr>
        <w:tc>
          <w:tcPr>
            <w:tcW w:type="dxa" w:w="4200"/>
          </w:tcPr>
          <w:p>
            <w:r>
              <w:rPr>
                <w:b w:val="false"/>
                <w:bCs w:val="false"/>
                <w:color w:val="000000"/>
                <w:sz w:val="20"/>
                <w:szCs w:val="20"/>
              </w:rPr>
              <w:t xml:space="preserve">Total Sales</w:t>
            </w:r>
          </w:p>
        </w:tc>
        <w:tc>
          <w:tcPr>
            <w:tcW w:type="dxa" w:w="2800"/>
          </w:tcPr>
          <w:p>
            <w:r>
              <w:rPr>
                <w:b w:val="false"/>
                <w:bCs w:val="false"/>
                <w:color w:val="000000"/>
                <w:sz w:val="20"/>
                <w:szCs w:val="20"/>
              </w:rPr>
              <w:t xml:space="preserve">$36,784,735.01</w:t>
            </w:r>
          </w:p>
        </w:tc>
      </w:tr>
      <w:tr>
        <w:tc>
          <w:tcPr>
            <w:tcW w:type="dxa" w:w="4200"/>
            <w:shd w:fill="F2F2F2" w:val="clear"/>
          </w:tcPr>
          <w:p>
            <w:r>
              <w:rPr>
                <w:b w:val="false"/>
                <w:bCs w:val="false"/>
                <w:color w:val="000000"/>
                <w:sz w:val="20"/>
                <w:szCs w:val="20"/>
              </w:rPr>
              <w:t xml:space="preserve">Total Profit</w:t>
            </w:r>
          </w:p>
        </w:tc>
        <w:tc>
          <w:tcPr>
            <w:tcW w:type="dxa" w:w="2800"/>
            <w:shd w:fill="F2F2F2" w:val="clear"/>
          </w:tcPr>
          <w:p>
            <w:r>
              <w:rPr>
                <w:b w:val="false"/>
                <w:bCs w:val="false"/>
                <w:color w:val="000000"/>
                <w:sz w:val="20"/>
                <w:szCs w:val="20"/>
              </w:rPr>
              <w:t xml:space="preserve">$3,966,902.97</w:t>
            </w:r>
          </w:p>
        </w:tc>
      </w:tr>
      <w:tr>
        <w:tc>
          <w:tcPr>
            <w:tcW w:type="dxa" w:w="4200"/>
          </w:tcPr>
          <w:p>
            <w:r>
              <w:rPr>
                <w:b w:val="false"/>
                <w:bCs w:val="false"/>
                <w:color w:val="000000"/>
                <w:sz w:val="20"/>
                <w:szCs w:val="20"/>
              </w:rPr>
              <w:t xml:space="preserve">Suspected Fraud Orders</w:t>
            </w:r>
          </w:p>
        </w:tc>
        <w:tc>
          <w:tcPr>
            <w:tcW w:type="dxa" w:w="2800"/>
          </w:tcPr>
          <w:p>
            <w:r>
              <w:rPr>
                <w:b w:val="false"/>
                <w:bCs w:val="false"/>
                <w:color w:val="000000"/>
                <w:sz w:val="20"/>
                <w:szCs w:val="20"/>
              </w:rPr>
              <w:t xml:space="preserve">4,062 (2.25%)</w:t>
            </w:r>
          </w:p>
        </w:tc>
      </w:tr>
      <w:tr>
        <w:tc>
          <w:tcPr>
            <w:tcW w:type="dxa" w:w="4200"/>
            <w:shd w:fill="F2F2F2" w:val="clear"/>
          </w:tcPr>
          <w:p>
            <w:r>
              <w:rPr>
                <w:b w:val="false"/>
                <w:bCs w:val="false"/>
                <w:color w:val="000000"/>
                <w:sz w:val="20"/>
                <w:szCs w:val="20"/>
              </w:rPr>
              <w:t xml:space="preserve">Late Delivery Rate</w:t>
            </w:r>
          </w:p>
        </w:tc>
        <w:tc>
          <w:tcPr>
            <w:tcW w:type="dxa" w:w="2800"/>
            <w:shd w:fill="F2F2F2" w:val="clear"/>
          </w:tcPr>
          <w:p>
            <w:r>
              <w:rPr>
                <w:b w:val="false"/>
                <w:bCs w:val="false"/>
                <w:color w:val="000000"/>
                <w:sz w:val="20"/>
                <w:szCs w:val="20"/>
              </w:rPr>
              <w:t xml:space="preserve">54.8%</w:t>
            </w:r>
          </w:p>
        </w:tc>
      </w:tr>
      <w:tr>
        <w:tc>
          <w:tcPr>
            <w:tcW w:type="dxa" w:w="4200"/>
          </w:tcPr>
          <w:p>
            <w:r>
              <w:rPr>
                <w:b w:val="false"/>
                <w:bCs w:val="false"/>
                <w:color w:val="000000"/>
                <w:sz w:val="20"/>
                <w:szCs w:val="20"/>
              </w:rPr>
              <w:t xml:space="preserve">Date Range</w:t>
            </w:r>
          </w:p>
        </w:tc>
        <w:tc>
          <w:tcPr>
            <w:tcW w:type="dxa" w:w="2800"/>
          </w:tcPr>
          <w:p>
            <w:r>
              <w:rPr>
                <w:b w:val="false"/>
                <w:bCs w:val="false"/>
                <w:color w:val="000000"/>
                <w:sz w:val="20"/>
                <w:szCs w:val="20"/>
              </w:rPr>
              <w:t xml:space="preserve">2015-01-01 to 2018-01-31</w:t>
            </w:r>
          </w:p>
        </w:tc>
      </w:tr>
    </w:tbl>
    <w:p>
      <w:r>
        <w:br w:type="page"/>
      </w:r>
    </w:p>
    <w:p>
      <w:pPr>
        <w:pStyle w:val="Heading1"/>
        <w:spacing w:after="150" w:before="300"/>
      </w:pPr>
      <w:r>
        <w:t xml:space="preserve">2. Diagnostic Statistics</w:t>
      </w:r>
    </w:p>
    <w:p>
      <w:pPr>
        <w:pStyle w:val="Heading2"/>
        <w:spacing w:after="120" w:before="240"/>
      </w:pPr>
      <w:r>
        <w:t xml:space="preserve">2.1 Fraud and Payment Type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tblGrid>
      <w:tr>
        <w:tc>
          <w:tcPr>
            <w:tcW w:type="dxa" w:w="2400"/>
            <w:shd w:fill="1F3864" w:val="clear"/>
          </w:tcPr>
          <w:p>
            <w:r>
              <w:rPr>
                <w:b/>
                <w:bCs/>
                <w:color w:val="FFFFFF"/>
                <w:sz w:val="20"/>
                <w:szCs w:val="20"/>
              </w:rPr>
              <w:t xml:space="preserve">Payment Type</w:t>
            </w:r>
          </w:p>
        </w:tc>
        <w:tc>
          <w:tcPr>
            <w:tcW w:type="dxa" w:w="1800"/>
            <w:shd w:fill="1F3864" w:val="clear"/>
          </w:tcPr>
          <w:p>
            <w:r>
              <w:rPr>
                <w:b/>
                <w:bCs/>
                <w:color w:val="FFFFFF"/>
                <w:sz w:val="20"/>
                <w:szCs w:val="20"/>
              </w:rPr>
              <w:t xml:space="preserve">Fraud Orders</w:t>
            </w:r>
          </w:p>
        </w:tc>
        <w:tc>
          <w:tcPr>
            <w:tcW w:type="dxa" w:w="1800"/>
            <w:shd w:fill="1F3864" w:val="clear"/>
          </w:tcPr>
          <w:p>
            <w:r>
              <w:rPr>
                <w:b/>
                <w:bCs/>
                <w:color w:val="FFFFFF"/>
                <w:sz w:val="20"/>
                <w:szCs w:val="20"/>
              </w:rPr>
              <w:t xml:space="preserve">Total Orders</w:t>
            </w:r>
          </w:p>
        </w:tc>
        <w:tc>
          <w:tcPr>
            <w:tcW w:type="dxa" w:w="1800"/>
            <w:shd w:fill="1F3864" w:val="clear"/>
          </w:tcPr>
          <w:p>
            <w:r>
              <w:rPr>
                <w:b/>
                <w:bCs/>
                <w:color w:val="FFFFFF"/>
                <w:sz w:val="20"/>
                <w:szCs w:val="20"/>
              </w:rPr>
              <w:t xml:space="preserve">Fraud Rate</w:t>
            </w:r>
          </w:p>
        </w:tc>
      </w:tr>
      <w:tr>
        <w:tc>
          <w:tcPr>
            <w:tcW w:type="dxa" w:w="2400"/>
          </w:tcPr>
          <w:p>
            <w:r>
              <w:rPr>
                <w:b w:val="false"/>
                <w:bCs w:val="false"/>
                <w:color w:val="000000"/>
                <w:sz w:val="20"/>
                <w:szCs w:val="20"/>
              </w:rPr>
              <w:t xml:space="preserve">CASH</w:t>
            </w:r>
          </w:p>
        </w:tc>
        <w:tc>
          <w:tcPr>
            <w:tcW w:type="dxa" w:w="1800"/>
          </w:tcPr>
          <w:p>
            <w:r>
              <w:rPr>
                <w:b w:val="false"/>
                <w:bCs w:val="false"/>
                <w:color w:val="000000"/>
                <w:sz w:val="20"/>
                <w:szCs w:val="20"/>
              </w:rPr>
              <w:t xml:space="preserve">0</w:t>
            </w:r>
          </w:p>
        </w:tc>
        <w:tc>
          <w:tcPr>
            <w:tcW w:type="dxa" w:w="1800"/>
          </w:tcPr>
          <w:p>
            <w:r>
              <w:rPr>
                <w:b w:val="false"/>
                <w:bCs w:val="false"/>
                <w:color w:val="000000"/>
                <w:sz w:val="20"/>
                <w:szCs w:val="20"/>
              </w:rPr>
              <w:t xml:space="preserve">19,616</w:t>
            </w:r>
          </w:p>
        </w:tc>
        <w:tc>
          <w:tcPr>
            <w:tcW w:type="dxa" w:w="1800"/>
          </w:tcPr>
          <w:p>
            <w:r>
              <w:rPr>
                <w:b w:val="false"/>
                <w:bCs w:val="false"/>
                <w:color w:val="000000"/>
                <w:sz w:val="20"/>
                <w:szCs w:val="20"/>
              </w:rPr>
              <w:t xml:space="preserve">0.0%</w:t>
            </w:r>
          </w:p>
        </w:tc>
      </w:tr>
      <w:tr>
        <w:tc>
          <w:tcPr>
            <w:tcW w:type="dxa" w:w="2400"/>
            <w:shd w:fill="F2F2F2" w:val="clear"/>
          </w:tcPr>
          <w:p>
            <w:r>
              <w:rPr>
                <w:b w:val="false"/>
                <w:bCs w:val="false"/>
                <w:color w:val="000000"/>
                <w:sz w:val="20"/>
                <w:szCs w:val="20"/>
              </w:rPr>
              <w:t xml:space="preserve">DEBIT</w:t>
            </w:r>
          </w:p>
        </w:tc>
        <w:tc>
          <w:tcPr>
            <w:tcW w:type="dxa" w:w="1800"/>
            <w:shd w:fill="F2F2F2" w:val="clear"/>
          </w:tcPr>
          <w:p>
            <w:r>
              <w:rPr>
                <w:b w:val="false"/>
                <w:bCs w:val="false"/>
                <w:color w:val="000000"/>
                <w:sz w:val="20"/>
                <w:szCs w:val="20"/>
              </w:rPr>
              <w:t xml:space="preserve">0</w:t>
            </w:r>
          </w:p>
        </w:tc>
        <w:tc>
          <w:tcPr>
            <w:tcW w:type="dxa" w:w="1800"/>
            <w:shd w:fill="F2F2F2" w:val="clear"/>
          </w:tcPr>
          <w:p>
            <w:r>
              <w:rPr>
                <w:b w:val="false"/>
                <w:bCs w:val="false"/>
                <w:color w:val="000000"/>
                <w:sz w:val="20"/>
                <w:szCs w:val="20"/>
              </w:rPr>
              <w:t xml:space="preserve">69,295</w:t>
            </w:r>
          </w:p>
        </w:tc>
        <w:tc>
          <w:tcPr>
            <w:tcW w:type="dxa" w:w="1800"/>
            <w:shd w:fill="F2F2F2" w:val="clear"/>
          </w:tcPr>
          <w:p>
            <w:r>
              <w:rPr>
                <w:b w:val="false"/>
                <w:bCs w:val="false"/>
                <w:color w:val="000000"/>
                <w:sz w:val="20"/>
                <w:szCs w:val="20"/>
              </w:rPr>
              <w:t xml:space="preserve">0.0%</w:t>
            </w:r>
          </w:p>
        </w:tc>
      </w:tr>
      <w:tr>
        <w:tc>
          <w:tcPr>
            <w:tcW w:type="dxa" w:w="2400"/>
          </w:tcPr>
          <w:p>
            <w:r>
              <w:rPr>
                <w:b w:val="false"/>
                <w:bCs w:val="false"/>
                <w:color w:val="000000"/>
                <w:sz w:val="20"/>
                <w:szCs w:val="20"/>
              </w:rPr>
              <w:t xml:space="preserve">PAYMENT</w:t>
            </w:r>
          </w:p>
        </w:tc>
        <w:tc>
          <w:tcPr>
            <w:tcW w:type="dxa" w:w="1800"/>
          </w:tcPr>
          <w:p>
            <w:r>
              <w:rPr>
                <w:b w:val="false"/>
                <w:bCs w:val="false"/>
                <w:color w:val="000000"/>
                <w:sz w:val="20"/>
                <w:szCs w:val="20"/>
              </w:rPr>
              <w:t xml:space="preserve">0</w:t>
            </w:r>
          </w:p>
        </w:tc>
        <w:tc>
          <w:tcPr>
            <w:tcW w:type="dxa" w:w="1800"/>
          </w:tcPr>
          <w:p>
            <w:r>
              <w:rPr>
                <w:b w:val="false"/>
                <w:bCs w:val="false"/>
                <w:color w:val="000000"/>
                <w:sz w:val="20"/>
                <w:szCs w:val="20"/>
              </w:rPr>
              <w:t xml:space="preserve">41,725</w:t>
            </w:r>
          </w:p>
        </w:tc>
        <w:tc>
          <w:tcPr>
            <w:tcW w:type="dxa" w:w="1800"/>
          </w:tcPr>
          <w:p>
            <w:r>
              <w:rPr>
                <w:b w:val="false"/>
                <w:bCs w:val="false"/>
                <w:color w:val="000000"/>
                <w:sz w:val="20"/>
                <w:szCs w:val="20"/>
              </w:rPr>
              <w:t xml:space="preserve">0.0%</w:t>
            </w:r>
          </w:p>
        </w:tc>
      </w:tr>
      <w:tr>
        <w:tc>
          <w:tcPr>
            <w:tcW w:type="dxa" w:w="2400"/>
            <w:shd w:fill="F2F2F2" w:val="clear"/>
          </w:tcPr>
          <w:p>
            <w:r>
              <w:rPr>
                <w:b w:val="false"/>
                <w:bCs w:val="false"/>
                <w:color w:val="000000"/>
                <w:sz w:val="20"/>
                <w:szCs w:val="20"/>
              </w:rPr>
              <w:t xml:space="preserve">TRANSFER</w:t>
            </w:r>
          </w:p>
        </w:tc>
        <w:tc>
          <w:tcPr>
            <w:tcW w:type="dxa" w:w="1800"/>
            <w:shd w:fill="F2F2F2" w:val="clear"/>
          </w:tcPr>
          <w:p>
            <w:r>
              <w:rPr>
                <w:b w:val="false"/>
                <w:bCs w:val="false"/>
                <w:color w:val="000000"/>
                <w:sz w:val="20"/>
                <w:szCs w:val="20"/>
              </w:rPr>
              <w:t xml:space="preserve">4,062</w:t>
            </w:r>
          </w:p>
        </w:tc>
        <w:tc>
          <w:tcPr>
            <w:tcW w:type="dxa" w:w="1800"/>
            <w:shd w:fill="F2F2F2" w:val="clear"/>
          </w:tcPr>
          <w:p>
            <w:r>
              <w:rPr>
                <w:b w:val="false"/>
                <w:bCs w:val="false"/>
                <w:color w:val="000000"/>
                <w:sz w:val="20"/>
                <w:szCs w:val="20"/>
              </w:rPr>
              <w:t xml:space="preserve">49,883</w:t>
            </w:r>
          </w:p>
        </w:tc>
        <w:tc>
          <w:tcPr>
            <w:tcW w:type="dxa" w:w="1800"/>
            <w:shd w:fill="F2F2F2" w:val="clear"/>
          </w:tcPr>
          <w:p>
            <w:r>
              <w:rPr>
                <w:b w:val="false"/>
                <w:bCs w:val="false"/>
                <w:color w:val="000000"/>
                <w:sz w:val="20"/>
                <w:szCs w:val="20"/>
              </w:rPr>
              <w:t xml:space="preserve">8.14%</w:t>
            </w:r>
          </w:p>
        </w:tc>
      </w:tr>
    </w:tbl>
    <w:p>
      <w:pPr>
        <w:spacing w:after="200"/>
      </w:pPr>
      <w:r>
        <w:rPr>
          <w:i/>
          <w:iCs/>
          <w:color w:val="595959"/>
          <w:sz w:val="19"/>
          <w:szCs w:val="19"/>
        </w:rPr>
        <w:t xml:space="preserve">Chi-square: χ² = 10,882.6, p &lt; 0.001. Every single suspected-fraud order in this dataset used TRANSFER payment - this is as close to a perfect categorical signal as occurs in real data.</w:t>
      </w:r>
    </w:p>
    <w:p>
      <w:pPr>
        <w:pStyle w:val="Heading2"/>
        <w:spacing w:after="120" w:before="240"/>
      </w:pPr>
      <w:r>
        <w:t xml:space="preserve">2.2 The Late-Delivery Promise Gap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tblGrid>
      <w:tr>
        <w:tc>
          <w:tcPr>
            <w:tcW w:type="dxa" w:w="2600"/>
            <w:shd w:fill="1F3864" w:val="clear"/>
          </w:tcPr>
          <w:p>
            <w:r>
              <w:rPr>
                <w:b/>
                <w:bCs/>
                <w:color w:val="FFFFFF"/>
                <w:sz w:val="20"/>
                <w:szCs w:val="20"/>
              </w:rPr>
              <w:t xml:space="preserve">Shipping Mode</w:t>
            </w:r>
          </w:p>
        </w:tc>
        <w:tc>
          <w:tcPr>
            <w:tcW w:type="dxa" w:w="1800"/>
            <w:shd w:fill="1F3864" w:val="clear"/>
          </w:tcPr>
          <w:p>
            <w:r>
              <w:rPr>
                <w:b/>
                <w:bCs/>
                <w:color w:val="FFFFFF"/>
                <w:sz w:val="20"/>
                <w:szCs w:val="20"/>
              </w:rPr>
              <w:t xml:space="preserve">Scheduled Days</w:t>
            </w:r>
          </w:p>
        </w:tc>
        <w:tc>
          <w:tcPr>
            <w:tcW w:type="dxa" w:w="1800"/>
            <w:shd w:fill="1F3864" w:val="clear"/>
          </w:tcPr>
          <w:p>
            <w:r>
              <w:rPr>
                <w:b/>
                <w:bCs/>
                <w:color w:val="FFFFFF"/>
                <w:sz w:val="20"/>
                <w:szCs w:val="20"/>
              </w:rPr>
              <w:t xml:space="preserve">Actual Days</w:t>
            </w:r>
          </w:p>
        </w:tc>
        <w:tc>
          <w:tcPr>
            <w:tcW w:type="dxa" w:w="1800"/>
            <w:shd w:fill="1F3864" w:val="clear"/>
          </w:tcPr>
          <w:p>
            <w:r>
              <w:rPr>
                <w:b/>
                <w:bCs/>
                <w:color w:val="FFFFFF"/>
                <w:sz w:val="20"/>
                <w:szCs w:val="20"/>
              </w:rPr>
              <w:t xml:space="preserve">Late Rate</w:t>
            </w:r>
          </w:p>
        </w:tc>
      </w:tr>
      <w:tr>
        <w:tc>
          <w:tcPr>
            <w:tcW w:type="dxa" w:w="2600"/>
          </w:tcPr>
          <w:p>
            <w:r>
              <w:rPr>
                <w:b w:val="false"/>
                <w:bCs w:val="false"/>
                <w:color w:val="000000"/>
                <w:sz w:val="20"/>
                <w:szCs w:val="20"/>
              </w:rPr>
              <w:t xml:space="preserve">First Class</w:t>
            </w:r>
          </w:p>
        </w:tc>
        <w:tc>
          <w:tcPr>
            <w:tcW w:type="dxa" w:w="1800"/>
          </w:tcPr>
          <w:p>
            <w:r>
              <w:rPr>
                <w:b w:val="false"/>
                <w:bCs w:val="false"/>
                <w:color w:val="000000"/>
                <w:sz w:val="20"/>
                <w:szCs w:val="20"/>
              </w:rPr>
              <w:t xml:space="preserve">1.00</w:t>
            </w:r>
          </w:p>
        </w:tc>
        <w:tc>
          <w:tcPr>
            <w:tcW w:type="dxa" w:w="1800"/>
          </w:tcPr>
          <w:p>
            <w:r>
              <w:rPr>
                <w:b w:val="false"/>
                <w:bCs w:val="false"/>
                <w:color w:val="000000"/>
                <w:sz w:val="20"/>
                <w:szCs w:val="20"/>
              </w:rPr>
              <w:t xml:space="preserve">2.00</w:t>
            </w:r>
          </w:p>
        </w:tc>
        <w:tc>
          <w:tcPr>
            <w:tcW w:type="dxa" w:w="1800"/>
          </w:tcPr>
          <w:p>
            <w:r>
              <w:rPr>
                <w:b w:val="false"/>
                <w:bCs w:val="false"/>
                <w:color w:val="000000"/>
                <w:sz w:val="20"/>
                <w:szCs w:val="20"/>
              </w:rPr>
              <w:t xml:space="preserve">95.3%</w:t>
            </w:r>
          </w:p>
        </w:tc>
      </w:tr>
      <w:tr>
        <w:tc>
          <w:tcPr>
            <w:tcW w:type="dxa" w:w="2600"/>
            <w:shd w:fill="F2F2F2" w:val="clear"/>
          </w:tcPr>
          <w:p>
            <w:r>
              <w:rPr>
                <w:b w:val="false"/>
                <w:bCs w:val="false"/>
                <w:color w:val="000000"/>
                <w:sz w:val="20"/>
                <w:szCs w:val="20"/>
              </w:rPr>
              <w:t xml:space="preserve">Second Class</w:t>
            </w:r>
          </w:p>
        </w:tc>
        <w:tc>
          <w:tcPr>
            <w:tcW w:type="dxa" w:w="1800"/>
            <w:shd w:fill="F2F2F2" w:val="clear"/>
          </w:tcPr>
          <w:p>
            <w:r>
              <w:rPr>
                <w:b w:val="false"/>
                <w:bCs w:val="false"/>
                <w:color w:val="000000"/>
                <w:sz w:val="20"/>
                <w:szCs w:val="20"/>
              </w:rPr>
              <w:t xml:space="preserve">2.00</w:t>
            </w:r>
          </w:p>
        </w:tc>
        <w:tc>
          <w:tcPr>
            <w:tcW w:type="dxa" w:w="1800"/>
            <w:shd w:fill="F2F2F2" w:val="clear"/>
          </w:tcPr>
          <w:p>
            <w:r>
              <w:rPr>
                <w:b w:val="false"/>
                <w:bCs w:val="false"/>
                <w:color w:val="000000"/>
                <w:sz w:val="20"/>
                <w:szCs w:val="20"/>
              </w:rPr>
              <w:t xml:space="preserve">3.99</w:t>
            </w:r>
          </w:p>
        </w:tc>
        <w:tc>
          <w:tcPr>
            <w:tcW w:type="dxa" w:w="1800"/>
            <w:shd w:fill="F2F2F2" w:val="clear"/>
          </w:tcPr>
          <w:p>
            <w:r>
              <w:rPr>
                <w:b w:val="false"/>
                <w:bCs w:val="false"/>
                <w:color w:val="000000"/>
                <w:sz w:val="20"/>
                <w:szCs w:val="20"/>
              </w:rPr>
              <w:t xml:space="preserve">76.6%</w:t>
            </w:r>
          </w:p>
        </w:tc>
      </w:tr>
      <w:tr>
        <w:tc>
          <w:tcPr>
            <w:tcW w:type="dxa" w:w="2600"/>
          </w:tcPr>
          <w:p>
            <w:r>
              <w:rPr>
                <w:b w:val="false"/>
                <w:bCs w:val="false"/>
                <w:color w:val="000000"/>
                <w:sz w:val="20"/>
                <w:szCs w:val="20"/>
              </w:rPr>
              <w:t xml:space="preserve">Standard Class</w:t>
            </w:r>
          </w:p>
        </w:tc>
        <w:tc>
          <w:tcPr>
            <w:tcW w:type="dxa" w:w="1800"/>
          </w:tcPr>
          <w:p>
            <w:r>
              <w:rPr>
                <w:b w:val="false"/>
                <w:bCs w:val="false"/>
                <w:color w:val="000000"/>
                <w:sz w:val="20"/>
                <w:szCs w:val="20"/>
              </w:rPr>
              <w:t xml:space="preserve">4.00</w:t>
            </w:r>
          </w:p>
        </w:tc>
        <w:tc>
          <w:tcPr>
            <w:tcW w:type="dxa" w:w="1800"/>
          </w:tcPr>
          <w:p>
            <w:r>
              <w:rPr>
                <w:b w:val="false"/>
                <w:bCs w:val="false"/>
                <w:color w:val="000000"/>
                <w:sz w:val="20"/>
                <w:szCs w:val="20"/>
              </w:rPr>
              <w:t xml:space="preserve">4.00</w:t>
            </w:r>
          </w:p>
        </w:tc>
        <w:tc>
          <w:tcPr>
            <w:tcW w:type="dxa" w:w="1800"/>
          </w:tcPr>
          <w:p>
            <w:r>
              <w:rPr>
                <w:b w:val="false"/>
                <w:bCs w:val="false"/>
                <w:color w:val="000000"/>
                <w:sz w:val="20"/>
                <w:szCs w:val="20"/>
              </w:rPr>
              <w:t xml:space="preserve">38.1%</w:t>
            </w:r>
          </w:p>
        </w:tc>
      </w:tr>
      <w:tr>
        <w:tc>
          <w:tcPr>
            <w:tcW w:type="dxa" w:w="2600"/>
            <w:shd w:fill="F2F2F2" w:val="clear"/>
          </w:tcPr>
          <w:p>
            <w:r>
              <w:rPr>
                <w:b w:val="false"/>
                <w:bCs w:val="false"/>
                <w:color w:val="000000"/>
                <w:sz w:val="20"/>
                <w:szCs w:val="20"/>
              </w:rPr>
              <w:t xml:space="preserve">Same Day</w:t>
            </w:r>
          </w:p>
        </w:tc>
        <w:tc>
          <w:tcPr>
            <w:tcW w:type="dxa" w:w="1800"/>
            <w:shd w:fill="F2F2F2" w:val="clear"/>
          </w:tcPr>
          <w:p>
            <w:r>
              <w:rPr>
                <w:b w:val="false"/>
                <w:bCs w:val="false"/>
                <w:color w:val="000000"/>
                <w:sz w:val="20"/>
                <w:szCs w:val="20"/>
              </w:rPr>
              <w:t xml:space="preserve">0.00</w:t>
            </w:r>
          </w:p>
        </w:tc>
        <w:tc>
          <w:tcPr>
            <w:tcW w:type="dxa" w:w="1800"/>
            <w:shd w:fill="F2F2F2" w:val="clear"/>
          </w:tcPr>
          <w:p>
            <w:r>
              <w:rPr>
                <w:b w:val="false"/>
                <w:bCs w:val="false"/>
                <w:color w:val="000000"/>
                <w:sz w:val="20"/>
                <w:szCs w:val="20"/>
              </w:rPr>
              <w:t xml:space="preserve">0.48</w:t>
            </w:r>
          </w:p>
        </w:tc>
        <w:tc>
          <w:tcPr>
            <w:tcW w:type="dxa" w:w="1800"/>
            <w:shd w:fill="F2F2F2" w:val="clear"/>
          </w:tcPr>
          <w:p>
            <w:r>
              <w:rPr>
                <w:b w:val="false"/>
                <w:bCs w:val="false"/>
                <w:color w:val="000000"/>
                <w:sz w:val="20"/>
                <w:szCs w:val="20"/>
              </w:rPr>
              <w:t xml:space="preserve">45.7%</w:t>
            </w:r>
          </w:p>
        </w:tc>
      </w:tr>
    </w:tbl>
    <w:p>
      <w:pPr>
        <w:spacing w:after="160"/>
      </w:pPr>
      <w:r>
        <w:t xml:space="preserve">The pattern is not random operational noise — it's systematic. Standard Class promises 4 days and delivers in almost exactly 4, giving it the lowest late rate. First and Second Class promise unrealistically short windows relative to actual fulfillment time, guaranteeing high late rates by design. Correlation between (actual - scheduled) days and Late_delivery_risk confirms this: orders flagged late average +1.62 days over schedule; on-time orders average -0.71 days under schedule.</w:t>
      </w:r>
    </w:p>
    <w:p>
      <w:pPr>
        <w:pStyle w:val="Heading2"/>
        <w:spacing w:after="120" w:before="240"/>
      </w:pPr>
      <w:r>
        <w:t xml:space="preserve">2.3 Profit Variation Across Categories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400"/>
        <w:gridCol w:w="2400"/>
      </w:tblGrid>
      <w:tr>
        <w:tc>
          <w:tcPr>
            <w:tcW w:type="dxa" w:w="3600"/>
            <w:shd w:fill="1F3864" w:val="clear"/>
          </w:tcPr>
          <w:p>
            <w:r>
              <w:rPr>
                <w:b/>
                <w:bCs/>
                <w:color w:val="FFFFFF"/>
                <w:sz w:val="20"/>
                <w:szCs w:val="20"/>
              </w:rPr>
              <w:t xml:space="preserve">Test</w:t>
            </w:r>
          </w:p>
        </w:tc>
        <w:tc>
          <w:tcPr>
            <w:tcW w:type="dxa" w:w="1800"/>
            <w:shd w:fill="1F3864" w:val="clear"/>
          </w:tcPr>
          <w:p>
            <w:r>
              <w:rPr>
                <w:b/>
                <w:bCs/>
                <w:color w:val="FFFFFF"/>
                <w:sz w:val="20"/>
                <w:szCs w:val="20"/>
              </w:rPr>
              <w:t xml:space="preserve">Statistic</w:t>
            </w:r>
          </w:p>
        </w:tc>
        <w:tc>
          <w:tcPr>
            <w:tcW w:type="dxa" w:w="1400"/>
            <w:shd w:fill="1F3864" w:val="clear"/>
          </w:tcPr>
          <w:p>
            <w:r>
              <w:rPr>
                <w:b/>
                <w:bCs/>
                <w:color w:val="FFFFFF"/>
                <w:sz w:val="20"/>
                <w:szCs w:val="20"/>
              </w:rPr>
              <w:t xml:space="preserve">p-value</w:t>
            </w:r>
          </w:p>
        </w:tc>
        <w:tc>
          <w:tcPr>
            <w:tcW w:type="dxa" w:w="2400"/>
            <w:shd w:fill="1F3864" w:val="clear"/>
          </w:tcPr>
          <w:p>
            <w:r>
              <w:rPr>
                <w:b/>
                <w:bCs/>
                <w:color w:val="FFFFFF"/>
                <w:sz w:val="20"/>
                <w:szCs w:val="20"/>
              </w:rPr>
              <w:t xml:space="preserve">Conclusion</w:t>
            </w:r>
          </w:p>
        </w:tc>
      </w:tr>
      <w:tr>
        <w:tc>
          <w:tcPr>
            <w:tcW w:type="dxa" w:w="3600"/>
          </w:tcPr>
          <w:p>
            <w:r>
              <w:rPr>
                <w:b w:val="false"/>
                <w:bCs w:val="false"/>
                <w:color w:val="000000"/>
                <w:sz w:val="20"/>
                <w:szCs w:val="20"/>
              </w:rPr>
              <w:t xml:space="preserve">ANOVA: Profit across Category Name</w:t>
            </w:r>
          </w:p>
        </w:tc>
        <w:tc>
          <w:tcPr>
            <w:tcW w:type="dxa" w:w="1800"/>
          </w:tcPr>
          <w:p>
            <w:r>
              <w:rPr>
                <w:b w:val="false"/>
                <w:bCs w:val="false"/>
                <w:color w:val="000000"/>
                <w:sz w:val="20"/>
                <w:szCs w:val="20"/>
              </w:rPr>
              <w:t xml:space="preserve">F = 51.77</w:t>
            </w:r>
          </w:p>
        </w:tc>
        <w:tc>
          <w:tcPr>
            <w:tcW w:type="dxa" w:w="1400"/>
          </w:tcPr>
          <w:p>
            <w:r>
              <w:rPr>
                <w:b w:val="false"/>
                <w:bCs w:val="false"/>
                <w:color w:val="000000"/>
                <w:sz w:val="20"/>
                <w:szCs w:val="20"/>
              </w:rPr>
              <w:t xml:space="preserve">&lt; 0.001</w:t>
            </w:r>
          </w:p>
        </w:tc>
        <w:tc>
          <w:tcPr>
            <w:tcW w:type="dxa" w:w="2400"/>
          </w:tcPr>
          <w:p>
            <w:r>
              <w:rPr>
                <w:b w:val="false"/>
                <w:bCs w:val="false"/>
                <w:color w:val="000000"/>
                <w:sz w:val="20"/>
                <w:szCs w:val="20"/>
              </w:rPr>
              <w:t xml:space="preserve">Highly significant — profitability genuinely differs by product category</w:t>
            </w:r>
          </w:p>
        </w:tc>
      </w:tr>
    </w:tbl>
    <w:p>
      <w:pPr>
        <w:spacing w:after="160"/>
      </w:pPr>
      <w:r>
        <w:t xml:space="preserve">18.7% of order lines have negative profit. Strength Training, CDs, and "As Seen on TV!" are the least profitable categories in total; Fishing, Cleats, and Camping &amp; Hiking are the most profitable.</w:t>
      </w:r>
    </w:p>
    <w:p>
      <w:pPr>
        <w:pStyle w:val="Heading2"/>
        <w:spacing w:after="120" w:before="240"/>
      </w:pPr>
      <w:r>
        <w:t xml:space="preserve">2.4 Correlation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600"/>
      </w:tblGrid>
      <w:tr>
        <w:tc>
          <w:tcPr>
            <w:tcW w:type="dxa" w:w="2400"/>
            <w:shd w:fill="1F3864" w:val="clear"/>
          </w:tcPr>
          <w:p>
            <w:r>
              <w:rPr>
                <w:b/>
                <w:bCs/>
                <w:color w:val="FFFFFF"/>
                <w:sz w:val="20"/>
                <w:szCs w:val="20"/>
              </w:rPr>
              <w:t xml:space="preserve">Pair</w:t>
            </w:r>
          </w:p>
        </w:tc>
        <w:tc>
          <w:tcPr>
            <w:tcW w:type="dxa" w:w="1400"/>
            <w:shd w:fill="1F3864" w:val="clear"/>
          </w:tcPr>
          <w:p>
            <w:r>
              <w:rPr>
                <w:b/>
                <w:bCs/>
                <w:color w:val="FFFFFF"/>
                <w:sz w:val="20"/>
                <w:szCs w:val="20"/>
              </w:rPr>
              <w:t xml:space="preserve">Pearson r</w:t>
            </w:r>
          </w:p>
        </w:tc>
        <w:tc>
          <w:tcPr>
            <w:tcW w:type="dxa" w:w="1600"/>
            <w:shd w:fill="1F3864" w:val="clear"/>
          </w:tcPr>
          <w:p>
            <w:r>
              <w:rPr>
                <w:b/>
                <w:bCs/>
                <w:color w:val="FFFFFF"/>
                <w:sz w:val="20"/>
                <w:szCs w:val="20"/>
              </w:rPr>
              <w:t xml:space="preserve">p-value</w:t>
            </w:r>
          </w:p>
        </w:tc>
        <w:tc>
          <w:tcPr>
            <w:tcW w:type="dxa" w:w="3600"/>
            <w:shd w:fill="1F3864" w:val="clear"/>
          </w:tcPr>
          <w:p>
            <w:r>
              <w:rPr>
                <w:b/>
                <w:bCs/>
                <w:color w:val="FFFFFF"/>
                <w:sz w:val="20"/>
                <w:szCs w:val="20"/>
              </w:rPr>
              <w:t xml:space="preserve">Conclusion</w:t>
            </w:r>
          </w:p>
        </w:tc>
      </w:tr>
      <w:tr>
        <w:tc>
          <w:tcPr>
            <w:tcW w:type="dxa" w:w="2400"/>
          </w:tcPr>
          <w:p>
            <w:r>
              <w:rPr>
                <w:b w:val="false"/>
                <w:bCs w:val="false"/>
                <w:color w:val="000000"/>
                <w:sz w:val="20"/>
                <w:szCs w:val="20"/>
              </w:rPr>
              <w:t xml:space="preserve">Discount Rate ↔ Profit</w:t>
            </w:r>
          </w:p>
        </w:tc>
        <w:tc>
          <w:tcPr>
            <w:tcW w:type="dxa" w:w="1400"/>
          </w:tcPr>
          <w:p>
            <w:r>
              <w:rPr>
                <w:b w:val="false"/>
                <w:bCs w:val="false"/>
                <w:color w:val="000000"/>
                <w:sz w:val="20"/>
                <w:szCs w:val="20"/>
              </w:rPr>
              <w:t xml:space="preserve">-0.019</w:t>
            </w:r>
          </w:p>
        </w:tc>
        <w:tc>
          <w:tcPr>
            <w:tcW w:type="dxa" w:w="1600"/>
          </w:tcPr>
          <w:p>
            <w:r>
              <w:rPr>
                <w:b w:val="false"/>
                <w:bCs w:val="false"/>
                <w:color w:val="000000"/>
                <w:sz w:val="20"/>
                <w:szCs w:val="20"/>
              </w:rPr>
              <w:t xml:space="preserve">2.3 × 10⁻¹⁵</w:t>
            </w:r>
          </w:p>
        </w:tc>
        <w:tc>
          <w:tcPr>
            <w:tcW w:type="dxa" w:w="3600"/>
          </w:tcPr>
          <w:p>
            <w:r>
              <w:rPr>
                <w:b w:val="false"/>
                <w:bCs w:val="false"/>
                <w:color w:val="000000"/>
                <w:sz w:val="20"/>
                <w:szCs w:val="20"/>
              </w:rPr>
              <w:t xml:space="preserve">Statistically significant but negligible in size — unlike the Superstore dataset, discounting is not a major profit driver here</w:t>
            </w:r>
          </w:p>
        </w:tc>
      </w:tr>
      <w:tr>
        <w:tc>
          <w:tcPr>
            <w:tcW w:type="dxa" w:w="2400"/>
            <w:shd w:fill="F2F2F2" w:val="clear"/>
          </w:tcPr>
          <w:p>
            <w:r>
              <w:rPr>
                <w:b w:val="false"/>
                <w:bCs w:val="false"/>
                <w:color w:val="000000"/>
                <w:sz w:val="20"/>
                <w:szCs w:val="20"/>
              </w:rPr>
              <w:t xml:space="preserve">Sales ↔ Profit</w:t>
            </w:r>
          </w:p>
        </w:tc>
        <w:tc>
          <w:tcPr>
            <w:tcW w:type="dxa" w:w="1400"/>
            <w:shd w:fill="F2F2F2" w:val="clear"/>
          </w:tcPr>
          <w:p>
            <w:r>
              <w:rPr>
                <w:b w:val="false"/>
                <w:bCs w:val="false"/>
                <w:color w:val="000000"/>
                <w:sz w:val="20"/>
                <w:szCs w:val="20"/>
              </w:rPr>
              <w:t xml:space="preserve">0.132</w:t>
            </w:r>
          </w:p>
        </w:tc>
        <w:tc>
          <w:tcPr>
            <w:tcW w:type="dxa" w:w="1600"/>
            <w:shd w:fill="F2F2F2" w:val="clear"/>
          </w:tcPr>
          <w:p>
            <w:r>
              <w:rPr>
                <w:b w:val="false"/>
                <w:bCs w:val="false"/>
                <w:color w:val="000000"/>
                <w:sz w:val="20"/>
                <w:szCs w:val="20"/>
              </w:rPr>
              <w:t xml:space="preserve">&lt; 0.001</w:t>
            </w:r>
          </w:p>
        </w:tc>
        <w:tc>
          <w:tcPr>
            <w:tcW w:type="dxa" w:w="3600"/>
            <w:shd w:fill="F2F2F2" w:val="clear"/>
          </w:tcPr>
          <w:p>
            <w:r>
              <w:rPr>
                <w:b w:val="false"/>
                <w:bCs w:val="false"/>
                <w:color w:val="000000"/>
                <w:sz w:val="20"/>
                <w:szCs w:val="20"/>
              </w:rPr>
              <w:t xml:space="preserve">Weak positive relationship — larger orders are only slightly more profitable on average</w:t>
            </w:r>
          </w:p>
        </w:tc>
      </w:tr>
    </w:tbl>
    <w:p>
      <w:pPr>
        <w:pStyle w:val="Heading2"/>
        <w:spacing w:after="120" w:before="240"/>
      </w:pPr>
      <w:r>
        <w:t xml:space="preserve">2.5 Browse-to-Buy Conversion (cross-dataset)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tblGrid>
      <w:tr>
        <w:tc>
          <w:tcPr>
            <w:tcW w:type="dxa" w:w="2400"/>
            <w:shd w:fill="1F3864" w:val="clear"/>
          </w:tcPr>
          <w:p>
            <w:r>
              <w:rPr>
                <w:b/>
                <w:bCs/>
                <w:color w:val="FFFFFF"/>
                <w:sz w:val="20"/>
                <w:szCs w:val="20"/>
              </w:rPr>
              <w:t xml:space="preserve">Department</w:t>
            </w:r>
          </w:p>
        </w:tc>
        <w:tc>
          <w:tcPr>
            <w:tcW w:type="dxa" w:w="1800"/>
            <w:shd w:fill="1F3864" w:val="clear"/>
          </w:tcPr>
          <w:p>
            <w:r>
              <w:rPr>
                <w:b/>
                <w:bCs/>
                <w:color w:val="FFFFFF"/>
                <w:sz w:val="20"/>
                <w:szCs w:val="20"/>
              </w:rPr>
              <w:t xml:space="preserve">Browse Share</w:t>
            </w:r>
          </w:p>
        </w:tc>
        <w:tc>
          <w:tcPr>
            <w:tcW w:type="dxa" w:w="1800"/>
            <w:shd w:fill="1F3864" w:val="clear"/>
          </w:tcPr>
          <w:p>
            <w:r>
              <w:rPr>
                <w:b/>
                <w:bCs/>
                <w:color w:val="FFFFFF"/>
                <w:sz w:val="20"/>
                <w:szCs w:val="20"/>
              </w:rPr>
              <w:t xml:space="preserve">Order Share</w:t>
            </w:r>
          </w:p>
        </w:tc>
        <w:tc>
          <w:tcPr>
            <w:tcW w:type="dxa" w:w="1800"/>
            <w:shd w:fill="1F3864" w:val="clear"/>
          </w:tcPr>
          <w:p>
            <w:r>
              <w:rPr>
                <w:b/>
                <w:bCs/>
                <w:color w:val="FFFFFF"/>
                <w:sz w:val="20"/>
                <w:szCs w:val="20"/>
              </w:rPr>
              <w:t xml:space="preserve">Conversion Index</w:t>
            </w:r>
          </w:p>
        </w:tc>
      </w:tr>
      <w:tr>
        <w:tc>
          <w:tcPr>
            <w:tcW w:type="dxa" w:w="2400"/>
          </w:tcPr>
          <w:p>
            <w:r>
              <w:rPr>
                <w:b w:val="false"/>
                <w:bCs w:val="false"/>
                <w:color w:val="000000"/>
                <w:sz w:val="20"/>
                <w:szCs w:val="20"/>
              </w:rPr>
              <w:t xml:space="preserve">Fan Shop</w:t>
            </w:r>
          </w:p>
        </w:tc>
        <w:tc>
          <w:tcPr>
            <w:tcW w:type="dxa" w:w="1800"/>
          </w:tcPr>
          <w:p>
            <w:r>
              <w:rPr>
                <w:b w:val="false"/>
                <w:bCs w:val="false"/>
                <w:color w:val="000000"/>
                <w:sz w:val="20"/>
                <w:szCs w:val="20"/>
              </w:rPr>
              <w:t xml:space="preserve">16.8%</w:t>
            </w:r>
          </w:p>
        </w:tc>
        <w:tc>
          <w:tcPr>
            <w:tcW w:type="dxa" w:w="1800"/>
          </w:tcPr>
          <w:p>
            <w:r>
              <w:rPr>
                <w:b w:val="false"/>
                <w:bCs w:val="false"/>
                <w:color w:val="000000"/>
                <w:sz w:val="20"/>
                <w:szCs w:val="20"/>
              </w:rPr>
              <w:t xml:space="preserve">38.0%</w:t>
            </w:r>
          </w:p>
        </w:tc>
        <w:tc>
          <w:tcPr>
            <w:tcW w:type="dxa" w:w="1800"/>
          </w:tcPr>
          <w:p>
            <w:r>
              <w:rPr>
                <w:b w:val="false"/>
                <w:bCs w:val="false"/>
                <w:color w:val="000000"/>
                <w:sz w:val="20"/>
                <w:szCs w:val="20"/>
              </w:rPr>
              <w:t xml:space="preserve">2.27</w:t>
            </w:r>
          </w:p>
        </w:tc>
      </w:tr>
      <w:tr>
        <w:tc>
          <w:tcPr>
            <w:tcW w:type="dxa" w:w="2400"/>
            <w:shd w:fill="F2F2F2" w:val="clear"/>
          </w:tcPr>
          <w:p>
            <w:r>
              <w:rPr>
                <w:b w:val="false"/>
                <w:bCs w:val="false"/>
                <w:color w:val="000000"/>
                <w:sz w:val="20"/>
                <w:szCs w:val="20"/>
              </w:rPr>
              <w:t xml:space="preserve">Apparel</w:t>
            </w:r>
          </w:p>
        </w:tc>
        <w:tc>
          <w:tcPr>
            <w:tcW w:type="dxa" w:w="1800"/>
            <w:shd w:fill="F2F2F2" w:val="clear"/>
          </w:tcPr>
          <w:p>
            <w:r>
              <w:rPr>
                <w:b w:val="false"/>
                <w:bCs w:val="false"/>
                <w:color w:val="000000"/>
                <w:sz w:val="20"/>
                <w:szCs w:val="20"/>
              </w:rPr>
              <w:t xml:space="preserve">16.9%</w:t>
            </w:r>
          </w:p>
        </w:tc>
        <w:tc>
          <w:tcPr>
            <w:tcW w:type="dxa" w:w="1800"/>
            <w:shd w:fill="F2F2F2" w:val="clear"/>
          </w:tcPr>
          <w:p>
            <w:r>
              <w:rPr>
                <w:b w:val="false"/>
                <w:bCs w:val="false"/>
                <w:color w:val="000000"/>
                <w:sz w:val="20"/>
                <w:szCs w:val="20"/>
              </w:rPr>
              <w:t xml:space="preserve">27.9%</w:t>
            </w:r>
          </w:p>
        </w:tc>
        <w:tc>
          <w:tcPr>
            <w:tcW w:type="dxa" w:w="1800"/>
            <w:shd w:fill="F2F2F2" w:val="clear"/>
          </w:tcPr>
          <w:p>
            <w:r>
              <w:rPr>
                <w:b w:val="false"/>
                <w:bCs w:val="false"/>
                <w:color w:val="000000"/>
                <w:sz w:val="20"/>
                <w:szCs w:val="20"/>
              </w:rPr>
              <w:t xml:space="preserve">1.65</w:t>
            </w:r>
          </w:p>
        </w:tc>
      </w:tr>
      <w:tr>
        <w:tc>
          <w:tcPr>
            <w:tcW w:type="dxa" w:w="2400"/>
          </w:tcPr>
          <w:p>
            <w:r>
              <w:rPr>
                <w:b w:val="false"/>
                <w:bCs w:val="false"/>
                <w:color w:val="000000"/>
                <w:sz w:val="20"/>
                <w:szCs w:val="20"/>
              </w:rPr>
              <w:t xml:space="preserve">Golf</w:t>
            </w:r>
          </w:p>
        </w:tc>
        <w:tc>
          <w:tcPr>
            <w:tcW w:type="dxa" w:w="1800"/>
          </w:tcPr>
          <w:p>
            <w:r>
              <w:rPr>
                <w:b w:val="false"/>
                <w:bCs w:val="false"/>
                <w:color w:val="000000"/>
                <w:sz w:val="20"/>
                <w:szCs w:val="20"/>
              </w:rPr>
              <w:t xml:space="preserve">16.3%</w:t>
            </w:r>
          </w:p>
        </w:tc>
        <w:tc>
          <w:tcPr>
            <w:tcW w:type="dxa" w:w="1800"/>
          </w:tcPr>
          <w:p>
            <w:r>
              <w:rPr>
                <w:b w:val="false"/>
                <w:bCs w:val="false"/>
                <w:color w:val="000000"/>
                <w:sz w:val="20"/>
                <w:szCs w:val="20"/>
              </w:rPr>
              <w:t xml:space="preserve">18.9%</w:t>
            </w:r>
          </w:p>
        </w:tc>
        <w:tc>
          <w:tcPr>
            <w:tcW w:type="dxa" w:w="1800"/>
          </w:tcPr>
          <w:p>
            <w:r>
              <w:rPr>
                <w:b w:val="false"/>
                <w:bCs w:val="false"/>
                <w:color w:val="000000"/>
                <w:sz w:val="20"/>
                <w:szCs w:val="20"/>
              </w:rPr>
              <w:t xml:space="preserve">1.16</w:t>
            </w:r>
          </w:p>
        </w:tc>
      </w:tr>
      <w:tr>
        <w:tc>
          <w:tcPr>
            <w:tcW w:type="dxa" w:w="2400"/>
            <w:shd w:fill="F2F2F2" w:val="clear"/>
          </w:tcPr>
          <w:p>
            <w:r>
              <w:rPr>
                <w:b w:val="false"/>
                <w:bCs w:val="false"/>
                <w:color w:val="000000"/>
                <w:sz w:val="20"/>
                <w:szCs w:val="20"/>
              </w:rPr>
              <w:t xml:space="preserve">Footwear</w:t>
            </w:r>
          </w:p>
        </w:tc>
        <w:tc>
          <w:tcPr>
            <w:tcW w:type="dxa" w:w="1800"/>
            <w:shd w:fill="F2F2F2" w:val="clear"/>
          </w:tcPr>
          <w:p>
            <w:r>
              <w:rPr>
                <w:b w:val="false"/>
                <w:bCs w:val="false"/>
                <w:color w:val="000000"/>
                <w:sz w:val="20"/>
                <w:szCs w:val="20"/>
              </w:rPr>
              <w:t xml:space="preserve">16.8%</w:t>
            </w:r>
          </w:p>
        </w:tc>
        <w:tc>
          <w:tcPr>
            <w:tcW w:type="dxa" w:w="1800"/>
            <w:shd w:fill="F2F2F2" w:val="clear"/>
          </w:tcPr>
          <w:p>
            <w:r>
              <w:rPr>
                <w:b w:val="false"/>
                <w:bCs w:val="false"/>
                <w:color w:val="000000"/>
                <w:sz w:val="20"/>
                <w:szCs w:val="20"/>
              </w:rPr>
              <w:t xml:space="preserve">8.3%</w:t>
            </w:r>
          </w:p>
        </w:tc>
        <w:tc>
          <w:tcPr>
            <w:tcW w:type="dxa" w:w="1800"/>
            <w:shd w:fill="F2F2F2" w:val="clear"/>
          </w:tcPr>
          <w:p>
            <w:r>
              <w:rPr>
                <w:b w:val="false"/>
                <w:bCs w:val="false"/>
                <w:color w:val="000000"/>
                <w:sz w:val="20"/>
                <w:szCs w:val="20"/>
              </w:rPr>
              <w:t xml:space="preserve">0.49</w:t>
            </w:r>
          </w:p>
        </w:tc>
      </w:tr>
      <w:tr>
        <w:tc>
          <w:tcPr>
            <w:tcW w:type="dxa" w:w="2400"/>
          </w:tcPr>
          <w:p>
            <w:r>
              <w:rPr>
                <w:b w:val="false"/>
                <w:bCs w:val="false"/>
                <w:color w:val="000000"/>
                <w:sz w:val="20"/>
                <w:szCs w:val="20"/>
              </w:rPr>
              <w:t xml:space="preserve">Outdoors</w:t>
            </w:r>
          </w:p>
        </w:tc>
        <w:tc>
          <w:tcPr>
            <w:tcW w:type="dxa" w:w="1800"/>
          </w:tcPr>
          <w:p>
            <w:r>
              <w:rPr>
                <w:b w:val="false"/>
                <w:bCs w:val="false"/>
                <w:color w:val="000000"/>
                <w:sz w:val="20"/>
                <w:szCs w:val="20"/>
              </w:rPr>
              <w:t xml:space="preserve">17.0%</w:t>
            </w:r>
          </w:p>
        </w:tc>
        <w:tc>
          <w:tcPr>
            <w:tcW w:type="dxa" w:w="1800"/>
          </w:tcPr>
          <w:p>
            <w:r>
              <w:rPr>
                <w:b w:val="false"/>
                <w:bCs w:val="false"/>
                <w:color w:val="000000"/>
                <w:sz w:val="20"/>
                <w:szCs w:val="20"/>
              </w:rPr>
              <w:t xml:space="preserve">5.5%</w:t>
            </w:r>
          </w:p>
        </w:tc>
        <w:tc>
          <w:tcPr>
            <w:tcW w:type="dxa" w:w="1800"/>
          </w:tcPr>
          <w:p>
            <w:r>
              <w:rPr>
                <w:b w:val="false"/>
                <w:bCs w:val="false"/>
                <w:color w:val="000000"/>
                <w:sz w:val="20"/>
                <w:szCs w:val="20"/>
              </w:rPr>
              <w:t xml:space="preserve">0.32</w:t>
            </w:r>
          </w:p>
        </w:tc>
      </w:tr>
      <w:tr>
        <w:tc>
          <w:tcPr>
            <w:tcW w:type="dxa" w:w="2400"/>
            <w:shd w:fill="F2F2F2" w:val="clear"/>
          </w:tcPr>
          <w:p>
            <w:r>
              <w:rPr>
                <w:b w:val="false"/>
                <w:bCs w:val="false"/>
                <w:color w:val="000000"/>
                <w:sz w:val="20"/>
                <w:szCs w:val="20"/>
              </w:rPr>
              <w:t xml:space="preserve">Fitness</w:t>
            </w:r>
          </w:p>
        </w:tc>
        <w:tc>
          <w:tcPr>
            <w:tcW w:type="dxa" w:w="1800"/>
            <w:shd w:fill="F2F2F2" w:val="clear"/>
          </w:tcPr>
          <w:p>
            <w:r>
              <w:rPr>
                <w:b w:val="false"/>
                <w:bCs w:val="false"/>
                <w:color w:val="000000"/>
                <w:sz w:val="20"/>
                <w:szCs w:val="20"/>
              </w:rPr>
              <w:t xml:space="preserve">16.3%</w:t>
            </w:r>
          </w:p>
        </w:tc>
        <w:tc>
          <w:tcPr>
            <w:tcW w:type="dxa" w:w="1800"/>
            <w:shd w:fill="F2F2F2" w:val="clear"/>
          </w:tcPr>
          <w:p>
            <w:r>
              <w:rPr>
                <w:b w:val="false"/>
                <w:bCs w:val="false"/>
                <w:color w:val="000000"/>
                <w:sz w:val="20"/>
                <w:szCs w:val="20"/>
              </w:rPr>
              <w:t xml:space="preserve">1.4%</w:t>
            </w:r>
          </w:p>
        </w:tc>
        <w:tc>
          <w:tcPr>
            <w:tcW w:type="dxa" w:w="1800"/>
            <w:shd w:fill="F2F2F2" w:val="clear"/>
          </w:tcPr>
          <w:p>
            <w:r>
              <w:rPr>
                <w:b w:val="false"/>
                <w:bCs w:val="false"/>
                <w:color w:val="000000"/>
                <w:sz w:val="20"/>
                <w:szCs w:val="20"/>
              </w:rPr>
              <w:t xml:space="preserve">0.09</w:t>
            </w:r>
          </w:p>
        </w:tc>
      </w:tr>
    </w:tbl>
    <w:p>
      <w:pPr>
        <w:spacing w:after="200"/>
      </w:pPr>
      <w:r>
        <w:rPr>
          <w:i/>
          <w:iCs/>
          <w:color w:val="595959"/>
          <w:sz w:val="19"/>
          <w:szCs w:val="19"/>
        </w:rPr>
        <w:t xml:space="preserve">Conversion Index = Order Share ÷ Browse Share; 1.0 means a department converts exactly proportionally to its browse traffic. All six departments receive nearly identical browse traffic (16.3%-17.0% each) yet convert at wildly different rates — a 25x spread between Fan Shop and Fitness. Note: the two source files share no order/customer key, so this is a distributional comparison (aggregate share vs. aggregate share), not a row-level join.</w:t>
      </w:r>
    </w:p>
    <w:p>
      <w:r>
        <w:br w:type="page"/>
      </w:r>
    </w:p>
    <w:p>
      <w:pPr>
        <w:pStyle w:val="Heading1"/>
        <w:spacing w:after="150" w:before="300"/>
      </w:pPr>
      <w:r>
        <w:t xml:space="preserve">3. Predictive Statistics</w:t>
      </w:r>
    </w:p>
    <w:p>
      <w:pPr>
        <w:pStyle w:val="Heading2"/>
        <w:spacing w:after="120" w:before="240"/>
      </w:pPr>
      <w:r>
        <w:t xml:space="preserve">3.1 Fraud Classifier</w:t>
      </w:r>
    </w:p>
    <w:p>
      <w:pPr>
        <w:spacing w:after="160"/>
      </w:pPr>
      <w:r>
        <w:t xml:space="preserve">A Random Forest classifier (200 trees, max depth 10, class-balanced, 75/25 stratified split) predicts suspected fraud using Type, Customer Segment, Market, Category, Shipping Mode, Quantity, Sales, Discount Rate, and scheduled shipping days.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c>
          <w:tcPr>
            <w:tcW w:type="dxa" w:w="4200"/>
            <w:shd w:fill="1F3864" w:val="clear"/>
          </w:tcPr>
          <w:p>
            <w:r>
              <w:rPr>
                <w:b/>
                <w:bCs/>
                <w:color w:val="FFFFFF"/>
                <w:sz w:val="20"/>
                <w:szCs w:val="20"/>
              </w:rPr>
              <w:t xml:space="preserve">Metric</w:t>
            </w:r>
          </w:p>
        </w:tc>
        <w:tc>
          <w:tcPr>
            <w:tcW w:type="dxa" w:w="2800"/>
            <w:shd w:fill="1F3864" w:val="clear"/>
          </w:tcPr>
          <w:p>
            <w:r>
              <w:rPr>
                <w:b/>
                <w:bCs/>
                <w:color w:val="FFFFFF"/>
                <w:sz w:val="20"/>
                <w:szCs w:val="20"/>
              </w:rPr>
              <w:t xml:space="preserve">Value</w:t>
            </w:r>
          </w:p>
        </w:tc>
      </w:tr>
      <w:tr>
        <w:tc>
          <w:tcPr>
            <w:tcW w:type="dxa" w:w="4200"/>
          </w:tcPr>
          <w:p>
            <w:r>
              <w:rPr>
                <w:b w:val="false"/>
                <w:bCs w:val="false"/>
                <w:color w:val="000000"/>
                <w:sz w:val="20"/>
                <w:szCs w:val="20"/>
              </w:rPr>
              <w:t xml:space="preserve">Fraud rate (class balance)</w:t>
            </w:r>
          </w:p>
        </w:tc>
        <w:tc>
          <w:tcPr>
            <w:tcW w:type="dxa" w:w="2800"/>
          </w:tcPr>
          <w:p>
            <w:r>
              <w:rPr>
                <w:b w:val="false"/>
                <w:bCs w:val="false"/>
                <w:color w:val="000000"/>
                <w:sz w:val="20"/>
                <w:szCs w:val="20"/>
              </w:rPr>
              <w:t xml:space="preserve">2.25%</w:t>
            </w:r>
          </w:p>
        </w:tc>
      </w:tr>
      <w:tr>
        <w:tc>
          <w:tcPr>
            <w:tcW w:type="dxa" w:w="4200"/>
            <w:shd w:fill="F2F2F2" w:val="clear"/>
          </w:tcPr>
          <w:p>
            <w:r>
              <w:rPr>
                <w:b w:val="false"/>
                <w:bCs w:val="false"/>
                <w:color w:val="000000"/>
                <w:sz w:val="20"/>
                <w:szCs w:val="20"/>
              </w:rPr>
              <w:t xml:space="preserve">ROC-AUC</w:t>
            </w:r>
          </w:p>
        </w:tc>
        <w:tc>
          <w:tcPr>
            <w:tcW w:type="dxa" w:w="2800"/>
            <w:shd w:fill="F2F2F2" w:val="clear"/>
          </w:tcPr>
          <w:p>
            <w:r>
              <w:rPr>
                <w:b w:val="false"/>
                <w:bCs w:val="false"/>
                <w:color w:val="000000"/>
                <w:sz w:val="20"/>
                <w:szCs w:val="20"/>
              </w:rPr>
              <w:t xml:space="preserve">0.875</w:t>
            </w:r>
          </w:p>
        </w:tc>
      </w:tr>
      <w:tr>
        <w:tc>
          <w:tcPr>
            <w:tcW w:type="dxa" w:w="4200"/>
          </w:tcPr>
          <w:p>
            <w:r>
              <w:rPr>
                <w:b w:val="false"/>
                <w:bCs w:val="false"/>
                <w:color w:val="000000"/>
                <w:sz w:val="20"/>
                <w:szCs w:val="20"/>
              </w:rPr>
              <w:t xml:space="preserve">Recall (at 0.5 threshold)</w:t>
            </w:r>
          </w:p>
        </w:tc>
        <w:tc>
          <w:tcPr>
            <w:tcW w:type="dxa" w:w="2800"/>
          </w:tcPr>
          <w:p>
            <w:r>
              <w:rPr>
                <w:b w:val="false"/>
                <w:bCs w:val="false"/>
                <w:color w:val="000000"/>
                <w:sz w:val="20"/>
                <w:szCs w:val="20"/>
              </w:rPr>
              <w:t xml:space="preserve">98.1%</w:t>
            </w:r>
          </w:p>
        </w:tc>
      </w:tr>
      <w:tr>
        <w:tc>
          <w:tcPr>
            <w:tcW w:type="dxa" w:w="4200"/>
            <w:shd w:fill="F2F2F2" w:val="clear"/>
          </w:tcPr>
          <w:p>
            <w:r>
              <w:rPr>
                <w:b w:val="false"/>
                <w:bCs w:val="false"/>
                <w:color w:val="000000"/>
                <w:sz w:val="20"/>
                <w:szCs w:val="20"/>
              </w:rPr>
              <w:t xml:space="preserve">Precision (at 0.5 threshold)</w:t>
            </w:r>
          </w:p>
        </w:tc>
        <w:tc>
          <w:tcPr>
            <w:tcW w:type="dxa" w:w="2800"/>
            <w:shd w:fill="F2F2F2" w:val="clear"/>
          </w:tcPr>
          <w:p>
            <w:r>
              <w:rPr>
                <w:b w:val="false"/>
                <w:bCs w:val="false"/>
                <w:color w:val="000000"/>
                <w:sz w:val="20"/>
                <w:szCs w:val="20"/>
              </w:rPr>
              <w:t xml:space="preserve">8.2%</w:t>
            </w:r>
          </w:p>
        </w:tc>
      </w:tr>
    </w:tbl>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c>
          <w:tcPr>
            <w:tcW w:type="dxa" w:w="4200"/>
            <w:shd w:fill="1F3864" w:val="clear"/>
          </w:tcPr>
          <w:p>
            <w:r>
              <w:rPr>
                <w:b/>
                <w:bCs/>
                <w:color w:val="FFFFFF"/>
                <w:sz w:val="20"/>
                <w:szCs w:val="20"/>
              </w:rPr>
              <w:t xml:space="preserve">Feature</w:t>
            </w:r>
          </w:p>
        </w:tc>
        <w:tc>
          <w:tcPr>
            <w:tcW w:type="dxa" w:w="2800"/>
            <w:shd w:fill="1F3864" w:val="clear"/>
          </w:tcPr>
          <w:p>
            <w:r>
              <w:rPr>
                <w:b/>
                <w:bCs/>
                <w:color w:val="FFFFFF"/>
                <w:sz w:val="20"/>
                <w:szCs w:val="20"/>
              </w:rPr>
              <w:t xml:space="preserve">Relative Importance</w:t>
            </w:r>
          </w:p>
        </w:tc>
      </w:tr>
      <w:tr>
        <w:tc>
          <w:tcPr>
            <w:tcW w:type="dxa" w:w="4200"/>
          </w:tcPr>
          <w:p>
            <w:r>
              <w:rPr>
                <w:b w:val="false"/>
                <w:bCs w:val="false"/>
                <w:color w:val="000000"/>
                <w:sz w:val="20"/>
                <w:szCs w:val="20"/>
              </w:rPr>
              <w:t xml:space="preserve">Type (payment method)</w:t>
            </w:r>
          </w:p>
        </w:tc>
        <w:tc>
          <w:tcPr>
            <w:tcW w:type="dxa" w:w="2800"/>
          </w:tcPr>
          <w:p>
            <w:r>
              <w:rPr>
                <w:b w:val="false"/>
                <w:bCs w:val="false"/>
                <w:color w:val="000000"/>
                <w:sz w:val="20"/>
                <w:szCs w:val="20"/>
              </w:rPr>
              <w:t xml:space="preserve">0.940</w:t>
            </w:r>
          </w:p>
        </w:tc>
      </w:tr>
      <w:tr>
        <w:tc>
          <w:tcPr>
            <w:tcW w:type="dxa" w:w="4200"/>
            <w:shd w:fill="F2F2F2" w:val="clear"/>
          </w:tcPr>
          <w:p>
            <w:r>
              <w:rPr>
                <w:b w:val="false"/>
                <w:bCs w:val="false"/>
                <w:color w:val="000000"/>
                <w:sz w:val="20"/>
                <w:szCs w:val="20"/>
              </w:rPr>
              <w:t xml:space="preserve">Sales</w:t>
            </w:r>
          </w:p>
        </w:tc>
        <w:tc>
          <w:tcPr>
            <w:tcW w:type="dxa" w:w="2800"/>
            <w:shd w:fill="F2F2F2" w:val="clear"/>
          </w:tcPr>
          <w:p>
            <w:r>
              <w:rPr>
                <w:b w:val="false"/>
                <w:bCs w:val="false"/>
                <w:color w:val="000000"/>
                <w:sz w:val="20"/>
                <w:szCs w:val="20"/>
              </w:rPr>
              <w:t xml:space="preserve">0.014</w:t>
            </w:r>
          </w:p>
        </w:tc>
      </w:tr>
      <w:tr>
        <w:tc>
          <w:tcPr>
            <w:tcW w:type="dxa" w:w="4200"/>
          </w:tcPr>
          <w:p>
            <w:r>
              <w:rPr>
                <w:b w:val="false"/>
                <w:bCs w:val="false"/>
                <w:color w:val="000000"/>
                <w:sz w:val="20"/>
                <w:szCs w:val="20"/>
              </w:rPr>
              <w:t xml:space="preserve">Order Item Discount Rate</w:t>
            </w:r>
          </w:p>
        </w:tc>
        <w:tc>
          <w:tcPr>
            <w:tcW w:type="dxa" w:w="2800"/>
          </w:tcPr>
          <w:p>
            <w:r>
              <w:rPr>
                <w:b w:val="false"/>
                <w:bCs w:val="false"/>
                <w:color w:val="000000"/>
                <w:sz w:val="20"/>
                <w:szCs w:val="20"/>
              </w:rPr>
              <w:t xml:space="preserve">0.013</w:t>
            </w:r>
          </w:p>
        </w:tc>
      </w:tr>
      <w:tr>
        <w:tc>
          <w:tcPr>
            <w:tcW w:type="dxa" w:w="4200"/>
            <w:shd w:fill="F2F2F2" w:val="clear"/>
          </w:tcPr>
          <w:p>
            <w:r>
              <w:rPr>
                <w:b w:val="false"/>
                <w:bCs w:val="false"/>
                <w:color w:val="000000"/>
                <w:sz w:val="20"/>
                <w:szCs w:val="20"/>
              </w:rPr>
              <w:t xml:space="preserve">Category Name</w:t>
            </w:r>
          </w:p>
        </w:tc>
        <w:tc>
          <w:tcPr>
            <w:tcW w:type="dxa" w:w="2800"/>
            <w:shd w:fill="F2F2F2" w:val="clear"/>
          </w:tcPr>
          <w:p>
            <w:r>
              <w:rPr>
                <w:b w:val="false"/>
                <w:bCs w:val="false"/>
                <w:color w:val="000000"/>
                <w:sz w:val="20"/>
                <w:szCs w:val="20"/>
              </w:rPr>
              <w:t xml:space="preserve">0.010</w:t>
            </w:r>
          </w:p>
        </w:tc>
      </w:tr>
      <w:tr>
        <w:tc>
          <w:tcPr>
            <w:tcW w:type="dxa" w:w="4200"/>
          </w:tcPr>
          <w:p>
            <w:r>
              <w:rPr>
                <w:b w:val="false"/>
                <w:bCs w:val="false"/>
                <w:color w:val="000000"/>
                <w:sz w:val="20"/>
                <w:szCs w:val="20"/>
              </w:rPr>
              <w:t xml:space="preserve">Market</w:t>
            </w:r>
          </w:p>
        </w:tc>
        <w:tc>
          <w:tcPr>
            <w:tcW w:type="dxa" w:w="2800"/>
          </w:tcPr>
          <w:p>
            <w:r>
              <w:rPr>
                <w:b w:val="false"/>
                <w:bCs w:val="false"/>
                <w:color w:val="000000"/>
                <w:sz w:val="20"/>
                <w:szCs w:val="20"/>
              </w:rPr>
              <w:t xml:space="preserve">0.007</w:t>
            </w:r>
          </w:p>
        </w:tc>
      </w:tr>
    </w:tbl>
    <w:p>
      <w:pPr>
        <w:spacing w:after="160"/>
      </w:pPr>
      <w:r>
        <w:t xml:space="preserve">This model essentially rediscovers the diagnostic finding numerically: payment type alone carries 94% of the predictive weight. At the default threshold it catches 98% of fraud while flagging about a quarter of all transactions — appropriate for a human review queue, not an automated block, given the low precision.</w:t>
      </w:r>
    </w:p>
    <w:p>
      <w:pPr>
        <w:pStyle w:val="Heading2"/>
        <w:spacing w:after="120" w:before="240"/>
      </w:pPr>
      <w:r>
        <w:t xml:space="preserve">3.2 Late-Delivery Classifier</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c>
          <w:tcPr>
            <w:tcW w:type="dxa" w:w="4200"/>
            <w:shd w:fill="1F3864" w:val="clear"/>
          </w:tcPr>
          <w:p>
            <w:r>
              <w:rPr>
                <w:b/>
                <w:bCs/>
                <w:color w:val="FFFFFF"/>
                <w:sz w:val="20"/>
                <w:szCs w:val="20"/>
              </w:rPr>
              <w:t xml:space="preserve">Metric</w:t>
            </w:r>
          </w:p>
        </w:tc>
        <w:tc>
          <w:tcPr>
            <w:tcW w:type="dxa" w:w="2800"/>
            <w:shd w:fill="1F3864" w:val="clear"/>
          </w:tcPr>
          <w:p>
            <w:r>
              <w:rPr>
                <w:b/>
                <w:bCs/>
                <w:color w:val="FFFFFF"/>
                <w:sz w:val="20"/>
                <w:szCs w:val="20"/>
              </w:rPr>
              <w:t xml:space="preserve">Value</w:t>
            </w:r>
          </w:p>
        </w:tc>
      </w:tr>
      <w:tr>
        <w:tc>
          <w:tcPr>
            <w:tcW w:type="dxa" w:w="4200"/>
          </w:tcPr>
          <w:p>
            <w:r>
              <w:rPr>
                <w:b w:val="false"/>
                <w:bCs w:val="false"/>
                <w:color w:val="000000"/>
                <w:sz w:val="20"/>
                <w:szCs w:val="20"/>
              </w:rPr>
              <w:t xml:space="preserve">ROC-AUC</w:t>
            </w:r>
          </w:p>
        </w:tc>
        <w:tc>
          <w:tcPr>
            <w:tcW w:type="dxa" w:w="2800"/>
          </w:tcPr>
          <w:p>
            <w:r>
              <w:rPr>
                <w:b w:val="false"/>
                <w:bCs w:val="false"/>
                <w:color w:val="000000"/>
                <w:sz w:val="20"/>
                <w:szCs w:val="20"/>
              </w:rPr>
              <w:t xml:space="preserve">0.741</w:t>
            </w:r>
          </w:p>
        </w:tc>
      </w:tr>
      <w:tr>
        <w:tc>
          <w:tcPr>
            <w:tcW w:type="dxa" w:w="4200"/>
            <w:shd w:fill="F2F2F2" w:val="clear"/>
          </w:tcPr>
          <w:p>
            <w:r>
              <w:rPr>
                <w:b w:val="false"/>
                <w:bCs w:val="false"/>
                <w:color w:val="000000"/>
                <w:sz w:val="20"/>
                <w:szCs w:val="20"/>
              </w:rPr>
              <w:t xml:space="preserve">Majority-Class Baseline</w:t>
            </w:r>
          </w:p>
        </w:tc>
        <w:tc>
          <w:tcPr>
            <w:tcW w:type="dxa" w:w="2800"/>
            <w:shd w:fill="F2F2F2" w:val="clear"/>
          </w:tcPr>
          <w:p>
            <w:r>
              <w:rPr>
                <w:b w:val="false"/>
                <w:bCs w:val="false"/>
                <w:color w:val="000000"/>
                <w:sz w:val="20"/>
                <w:szCs w:val="20"/>
              </w:rPr>
              <w:t xml:space="preserve">0.548</w:t>
            </w:r>
          </w:p>
        </w:tc>
      </w:tr>
    </w:tbl>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c>
          <w:tcPr>
            <w:tcW w:type="dxa" w:w="4200"/>
            <w:shd w:fill="1F3864" w:val="clear"/>
          </w:tcPr>
          <w:p>
            <w:r>
              <w:rPr>
                <w:b/>
                <w:bCs/>
                <w:color w:val="FFFFFF"/>
                <w:sz w:val="20"/>
                <w:szCs w:val="20"/>
              </w:rPr>
              <w:t xml:space="preserve">Feature</w:t>
            </w:r>
          </w:p>
        </w:tc>
        <w:tc>
          <w:tcPr>
            <w:tcW w:type="dxa" w:w="2800"/>
            <w:shd w:fill="1F3864" w:val="clear"/>
          </w:tcPr>
          <w:p>
            <w:r>
              <w:rPr>
                <w:b/>
                <w:bCs/>
                <w:color w:val="FFFFFF"/>
                <w:sz w:val="20"/>
                <w:szCs w:val="20"/>
              </w:rPr>
              <w:t xml:space="preserve">Relative Importance</w:t>
            </w:r>
          </w:p>
        </w:tc>
      </w:tr>
      <w:tr>
        <w:tc>
          <w:tcPr>
            <w:tcW w:type="dxa" w:w="4200"/>
          </w:tcPr>
          <w:p>
            <w:r>
              <w:rPr>
                <w:b w:val="false"/>
                <w:bCs w:val="false"/>
                <w:color w:val="000000"/>
                <w:sz w:val="20"/>
                <w:szCs w:val="20"/>
              </w:rPr>
              <w:t xml:space="preserve">Days for shipment (scheduled)</w:t>
            </w:r>
          </w:p>
        </w:tc>
        <w:tc>
          <w:tcPr>
            <w:tcW w:type="dxa" w:w="2800"/>
          </w:tcPr>
          <w:p>
            <w:r>
              <w:rPr>
                <w:b w:val="false"/>
                <w:bCs w:val="false"/>
                <w:color w:val="000000"/>
                <w:sz w:val="20"/>
                <w:szCs w:val="20"/>
              </w:rPr>
              <w:t xml:space="preserve">0.459</w:t>
            </w:r>
          </w:p>
        </w:tc>
      </w:tr>
      <w:tr>
        <w:tc>
          <w:tcPr>
            <w:tcW w:type="dxa" w:w="4200"/>
            <w:shd w:fill="F2F2F2" w:val="clear"/>
          </w:tcPr>
          <w:p>
            <w:r>
              <w:rPr>
                <w:b w:val="false"/>
                <w:bCs w:val="false"/>
                <w:color w:val="000000"/>
                <w:sz w:val="20"/>
                <w:szCs w:val="20"/>
              </w:rPr>
              <w:t xml:space="preserve">Shipping Mode</w:t>
            </w:r>
          </w:p>
        </w:tc>
        <w:tc>
          <w:tcPr>
            <w:tcW w:type="dxa" w:w="2800"/>
            <w:shd w:fill="F2F2F2" w:val="clear"/>
          </w:tcPr>
          <w:p>
            <w:r>
              <w:rPr>
                <w:b w:val="false"/>
                <w:bCs w:val="false"/>
                <w:color w:val="000000"/>
                <w:sz w:val="20"/>
                <w:szCs w:val="20"/>
              </w:rPr>
              <w:t xml:space="preserve">0.429</w:t>
            </w:r>
          </w:p>
        </w:tc>
      </w:tr>
      <w:tr>
        <w:tc>
          <w:tcPr>
            <w:tcW w:type="dxa" w:w="4200"/>
          </w:tcPr>
          <w:p>
            <w:r>
              <w:rPr>
                <w:b w:val="false"/>
                <w:bCs w:val="false"/>
                <w:color w:val="000000"/>
                <w:sz w:val="20"/>
                <w:szCs w:val="20"/>
              </w:rPr>
              <w:t xml:space="preserve">Type</w:t>
            </w:r>
          </w:p>
        </w:tc>
        <w:tc>
          <w:tcPr>
            <w:tcW w:type="dxa" w:w="2800"/>
          </w:tcPr>
          <w:p>
            <w:r>
              <w:rPr>
                <w:b w:val="false"/>
                <w:bCs w:val="false"/>
                <w:color w:val="000000"/>
                <w:sz w:val="20"/>
                <w:szCs w:val="20"/>
              </w:rPr>
              <w:t xml:space="preserve">0.035</w:t>
            </w:r>
          </w:p>
        </w:tc>
      </w:tr>
    </w:tbl>
    <w:p>
      <w:pPr>
        <w:spacing w:after="160"/>
      </w:pPr>
      <w:r>
        <w:t xml:space="preserve">Scheduled days and shipping mode together carry 89% of the predictive weight — confirming this is a predictable, policy-driven pattern (the promise-vs-reality gap from Section 2.2), not noisy logistics variance.</w:t>
      </w:r>
    </w:p>
    <w:p>
      <w:pPr>
        <w:pStyle w:val="Heading2"/>
        <w:spacing w:after="120" w:before="240"/>
      </w:pPr>
      <w:r>
        <w:t xml:space="preserve">3.3 Monthly Sales Trend and a Data-Quality Flag</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tblGrid>
      <w:tr>
        <w:tc>
          <w:tcPr>
            <w:tcW w:type="dxa" w:w="4200"/>
            <w:shd w:fill="1F3864" w:val="clear"/>
          </w:tcPr>
          <w:p>
            <w:r>
              <w:rPr>
                <w:b/>
                <w:bCs/>
                <w:color w:val="FFFFFF"/>
                <w:sz w:val="20"/>
                <w:szCs w:val="20"/>
              </w:rPr>
              <w:t xml:space="preserve">Term</w:t>
            </w:r>
          </w:p>
        </w:tc>
        <w:tc>
          <w:tcPr>
            <w:tcW w:type="dxa" w:w="2800"/>
            <w:shd w:fill="1F3864" w:val="clear"/>
          </w:tcPr>
          <w:p>
            <w:r>
              <w:rPr>
                <w:b/>
                <w:bCs/>
                <w:color w:val="FFFFFF"/>
                <w:sz w:val="20"/>
                <w:szCs w:val="20"/>
              </w:rPr>
              <w:t xml:space="preserve">Value</w:t>
            </w:r>
          </w:p>
        </w:tc>
      </w:tr>
      <w:tr>
        <w:tc>
          <w:tcPr>
            <w:tcW w:type="dxa" w:w="4200"/>
          </w:tcPr>
          <w:p>
            <w:r>
              <w:rPr>
                <w:b w:val="false"/>
                <w:bCs w:val="false"/>
                <w:color w:val="000000"/>
                <w:sz w:val="20"/>
                <w:szCs w:val="20"/>
              </w:rPr>
              <w:t xml:space="preserve">Fit period</w:t>
            </w:r>
          </w:p>
        </w:tc>
        <w:tc>
          <w:tcPr>
            <w:tcW w:type="dxa" w:w="2800"/>
          </w:tcPr>
          <w:p>
            <w:r>
              <w:rPr>
                <w:b w:val="false"/>
                <w:bCs w:val="false"/>
                <w:color w:val="000000"/>
                <w:sz w:val="20"/>
                <w:szCs w:val="20"/>
              </w:rPr>
              <w:t xml:space="preserve">Jan 2015 – Sep 2017 (33 months)</w:t>
            </w:r>
          </w:p>
        </w:tc>
      </w:tr>
      <w:tr>
        <w:tc>
          <w:tcPr>
            <w:tcW w:type="dxa" w:w="4200"/>
            <w:shd w:fill="F2F2F2" w:val="clear"/>
          </w:tcPr>
          <w:p>
            <w:r>
              <w:rPr>
                <w:b w:val="false"/>
                <w:bCs w:val="false"/>
                <w:color w:val="000000"/>
                <w:sz w:val="20"/>
                <w:szCs w:val="20"/>
              </w:rPr>
              <w:t xml:space="preserve">Monthly slope</w:t>
            </w:r>
          </w:p>
        </w:tc>
        <w:tc>
          <w:tcPr>
            <w:tcW w:type="dxa" w:w="2800"/>
            <w:shd w:fill="F2F2F2" w:val="clear"/>
          </w:tcPr>
          <w:p>
            <w:r>
              <w:rPr>
                <w:b w:val="false"/>
                <w:bCs w:val="false"/>
                <w:color w:val="000000"/>
                <w:sz w:val="20"/>
                <w:szCs w:val="20"/>
              </w:rPr>
              <w:t xml:space="preserve">+$1,986/month</w:t>
            </w:r>
          </w:p>
        </w:tc>
      </w:tr>
      <w:tr>
        <w:tc>
          <w:tcPr>
            <w:tcW w:type="dxa" w:w="4200"/>
          </w:tcPr>
          <w:p>
            <w:r>
              <w:rPr>
                <w:b w:val="false"/>
                <w:bCs w:val="false"/>
                <w:color w:val="000000"/>
                <w:sz w:val="20"/>
                <w:szCs w:val="20"/>
              </w:rPr>
              <w:t xml:space="preserve">R-squared</w:t>
            </w:r>
          </w:p>
        </w:tc>
        <w:tc>
          <w:tcPr>
            <w:tcW w:type="dxa" w:w="2800"/>
          </w:tcPr>
          <w:p>
            <w:r>
              <w:rPr>
                <w:b w:val="false"/>
                <w:bCs w:val="false"/>
                <w:color w:val="000000"/>
                <w:sz w:val="20"/>
                <w:szCs w:val="20"/>
              </w:rPr>
              <w:t xml:space="preserve">0.229</w:t>
            </w:r>
          </w:p>
        </w:tc>
      </w:tr>
      <w:tr>
        <w:tc>
          <w:tcPr>
            <w:tcW w:type="dxa" w:w="4200"/>
            <w:shd w:fill="F2F2F2" w:val="clear"/>
          </w:tcPr>
          <w:p>
            <w:r>
              <w:rPr>
                <w:b w:val="false"/>
                <w:bCs w:val="false"/>
                <w:color w:val="000000"/>
                <w:sz w:val="20"/>
                <w:szCs w:val="20"/>
              </w:rPr>
              <w:t xml:space="preserve">Average monthly sales (stable period)</w:t>
            </w:r>
          </w:p>
        </w:tc>
        <w:tc>
          <w:tcPr>
            <w:tcW w:type="dxa" w:w="2800"/>
            <w:shd w:fill="F2F2F2" w:val="clear"/>
          </w:tcPr>
          <w:p>
            <w:r>
              <w:rPr>
                <w:b w:val="false"/>
                <w:bCs w:val="false"/>
                <w:color w:val="000000"/>
                <w:sz w:val="20"/>
                <w:szCs w:val="20"/>
              </w:rPr>
              <w:t xml:space="preserve">$1,037,826 (CV ≈ 3.9%)</w:t>
            </w:r>
          </w:p>
        </w:tc>
      </w:tr>
    </w:tbl>
    <w:p>
      <w:pPr>
        <w:spacing w:after="160"/>
      </w:pPr>
      <w:r>
        <w:t xml:space="preserve">The stable period shows a weak but positive trend (R²=0.23) with low month-to-month variance — a mature, steady business. However, Oct 2017 through Jan 2018 shows average order value collapsing from ~$476 to ~$156 while order counts rise, which is inconsistent with 33 months of stable prior behavior. This pattern (rising volume, collapsing average value, right at the end of the file) is a known characteristic of this public dataset and is treated here as a probable data-generation artifact rather than a genuine business trend — it is excluded from the trend fit and flagged for investigation rather than incorporated into any forecast.</w:t>
      </w:r>
    </w:p>
    <w:p>
      <w:r>
        <w:br w:type="page"/>
      </w:r>
    </w:p>
    <w:p>
      <w:pPr>
        <w:pStyle w:val="Heading1"/>
        <w:spacing w:after="150" w:before="300"/>
      </w:pPr>
      <w:r>
        <w:t xml:space="preserve">4. Statistical Basis for Prescriptive Recommendations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tblGrid>
      <w:tr>
        <w:tc>
          <w:tcPr>
            <w:tcW w:type="dxa" w:w="3200"/>
            <w:shd w:fill="1F3864" w:val="clear"/>
          </w:tcPr>
          <w:p>
            <w:r>
              <w:rPr>
                <w:b/>
                <w:bCs/>
                <w:color w:val="FFFFFF"/>
                <w:sz w:val="20"/>
                <w:szCs w:val="20"/>
              </w:rPr>
              <w:t xml:space="preserve">Recommendation</w:t>
            </w:r>
          </w:p>
        </w:tc>
        <w:tc>
          <w:tcPr>
            <w:tcW w:type="dxa" w:w="4600"/>
            <w:shd w:fill="1F3864" w:val="clear"/>
          </w:tcPr>
          <w:p>
            <w:r>
              <w:rPr>
                <w:b/>
                <w:bCs/>
                <w:color w:val="FFFFFF"/>
                <w:sz w:val="20"/>
                <w:szCs w:val="20"/>
              </w:rPr>
              <w:t xml:space="preserve">Statistical Evidence</w:t>
            </w:r>
          </w:p>
        </w:tc>
      </w:tr>
      <w:tr>
        <w:tc>
          <w:tcPr>
            <w:tcW w:type="dxa" w:w="3200"/>
          </w:tcPr>
          <w:p>
            <w:r>
              <w:rPr>
                <w:b w:val="false"/>
                <w:bCs w:val="false"/>
                <w:color w:val="000000"/>
                <w:sz w:val="20"/>
                <w:szCs w:val="20"/>
              </w:rPr>
              <w:t xml:space="preserve">Route TRANSFER-payment orders to a fraud review queue</w:t>
            </w:r>
          </w:p>
        </w:tc>
        <w:tc>
          <w:tcPr>
            <w:tcW w:type="dxa" w:w="4600"/>
          </w:tcPr>
          <w:p>
            <w:r>
              <w:rPr>
                <w:b w:val="false"/>
                <w:bCs w:val="false"/>
                <w:color w:val="000000"/>
                <w:sz w:val="20"/>
                <w:szCs w:val="20"/>
              </w:rPr>
              <w:t xml:space="preserve">100% of fraud is TRANSFER (χ²=10,882.6, p&lt;0.001); classifier recall=98%, precision=8% — fits a triage workflow, not auto-decline</w:t>
            </w:r>
          </w:p>
        </w:tc>
      </w:tr>
      <w:tr>
        <w:tc>
          <w:tcPr>
            <w:tcW w:type="dxa" w:w="3200"/>
            <w:shd w:fill="F2F2F2" w:val="clear"/>
          </w:tcPr>
          <w:p>
            <w:r>
              <w:rPr>
                <w:b w:val="false"/>
                <w:bCs w:val="false"/>
                <w:color w:val="000000"/>
                <w:sz w:val="20"/>
                <w:szCs w:val="20"/>
              </w:rPr>
              <w:t xml:space="preserve">Re-set delivery promises for First Class and Second Class</w:t>
            </w:r>
          </w:p>
        </w:tc>
        <w:tc>
          <w:tcPr>
            <w:tcW w:type="dxa" w:w="4600"/>
            <w:shd w:fill="F2F2F2" w:val="clear"/>
          </w:tcPr>
          <w:p>
            <w:r>
              <w:rPr>
                <w:b w:val="false"/>
                <w:bCs w:val="false"/>
                <w:color w:val="000000"/>
                <w:sz w:val="20"/>
                <w:szCs w:val="20"/>
              </w:rPr>
              <w:t xml:space="preserve">First Class: 1-day promise vs 2-day actual (95% late); Second Class: 2-day promise vs 4-day actual (77% late); Standard Class's realistic promise yields the lowest late rate (38%)</w:t>
            </w:r>
          </w:p>
        </w:tc>
      </w:tr>
      <w:tr>
        <w:tc>
          <w:tcPr>
            <w:tcW w:type="dxa" w:w="3200"/>
          </w:tcPr>
          <w:p>
            <w:r>
              <w:rPr>
                <w:b w:val="false"/>
                <w:bCs w:val="false"/>
                <w:color w:val="000000"/>
                <w:sz w:val="20"/>
                <w:szCs w:val="20"/>
              </w:rPr>
              <w:t xml:space="preserve">Audit Fitness and Outdoors department conversion</w:t>
            </w:r>
          </w:p>
        </w:tc>
        <w:tc>
          <w:tcPr>
            <w:tcW w:type="dxa" w:w="4600"/>
          </w:tcPr>
          <w:p>
            <w:r>
              <w:rPr>
                <w:b w:val="false"/>
                <w:bCs w:val="false"/>
                <w:color w:val="000000"/>
                <w:sz w:val="20"/>
                <w:szCs w:val="20"/>
              </w:rPr>
              <w:t xml:space="preserve">0.09 and 0.32 conversion index respectively, vs 2.27 for Fan Shop, despite near-identical browse traffic share across all six departments</w:t>
            </w:r>
          </w:p>
        </w:tc>
      </w:tr>
      <w:tr>
        <w:tc>
          <w:tcPr>
            <w:tcW w:type="dxa" w:w="3200"/>
            <w:shd w:fill="F2F2F2" w:val="clear"/>
          </w:tcPr>
          <w:p>
            <w:r>
              <w:rPr>
                <w:b w:val="false"/>
                <w:bCs w:val="false"/>
                <w:color w:val="000000"/>
                <w:sz w:val="20"/>
                <w:szCs w:val="20"/>
              </w:rPr>
              <w:t xml:space="preserve">Replicate Fan Shop's merchandising approach elsewhere</w:t>
            </w:r>
          </w:p>
        </w:tc>
        <w:tc>
          <w:tcPr>
            <w:tcW w:type="dxa" w:w="4600"/>
            <w:shd w:fill="F2F2F2" w:val="clear"/>
          </w:tcPr>
          <w:p>
            <w:r>
              <w:rPr>
                <w:b w:val="false"/>
                <w:bCs w:val="false"/>
                <w:color w:val="000000"/>
                <w:sz w:val="20"/>
                <w:szCs w:val="20"/>
              </w:rPr>
              <w:t xml:space="preserve">2.27 conversion index, the strongest of six comparable departments by a wide margin</w:t>
            </w:r>
          </w:p>
        </w:tc>
      </w:tr>
      <w:tr>
        <w:tc>
          <w:tcPr>
            <w:tcW w:type="dxa" w:w="3200"/>
          </w:tcPr>
          <w:p>
            <w:r>
              <w:rPr>
                <w:b w:val="false"/>
                <w:bCs w:val="false"/>
                <w:color w:val="000000"/>
                <w:sz w:val="20"/>
                <w:szCs w:val="20"/>
              </w:rPr>
              <w:t xml:space="preserve">Treat Oct 2017–Jan 2018 figures as a data-quality issue</w:t>
            </w:r>
          </w:p>
        </w:tc>
        <w:tc>
          <w:tcPr>
            <w:tcW w:type="dxa" w:w="4600"/>
          </w:tcPr>
          <w:p>
            <w:r>
              <w:rPr>
                <w:b w:val="false"/>
                <w:bCs w:val="false"/>
                <w:color w:val="000000"/>
                <w:sz w:val="20"/>
                <w:szCs w:val="20"/>
              </w:rPr>
              <w:t xml:space="preserve">Average order value drop (~67%) while order count rises is inconsistent with 33 months of stable prior behavior (CV≈3.9%)</w:t>
            </w:r>
          </w:p>
        </w:tc>
      </w:tr>
    </w:tbl>
    <w:p>
      <w:r>
        <w:br w:type="page"/>
      </w:r>
    </w:p>
    <w:p>
      <w:pPr>
        <w:pStyle w:val="Heading1"/>
        <w:spacing w:after="150" w:before="300"/>
      </w:pPr>
      <w:r>
        <w:t xml:space="preserve">Appendix — Methods &amp; Tools</w:t>
      </w:r>
    </w:p>
    <w:p>
      <w:pPr>
        <w:pStyle w:val="ListParagraph"/>
        <w:numPr>
          <w:ilvl w:val="0"/>
          <w:numId w:val="1"/>
        </w:numPr>
        <w:spacing w:after="80"/>
      </w:pPr>
      <w:r>
        <w:t xml:space="preserve">Data loading: DataCoSupplyChainDataset.csv required Latin-1 encoding (fails under UTF-8); tokenized_access_logs.csv loaded natively as UTF-8.</w:t>
      </w:r>
    </w:p>
    <w:p>
      <w:pPr>
        <w:pStyle w:val="ListParagraph"/>
        <w:numPr>
          <w:ilvl w:val="0"/>
          <w:numId w:val="1"/>
        </w:numPr>
        <w:spacing w:after="80"/>
      </w:pPr>
      <w:r>
        <w:t xml:space="preserve">Descriptive statistics: pandas .describe(), .skew() on the 180,519-row dataset.</w:t>
      </w:r>
    </w:p>
    <w:p>
      <w:pPr>
        <w:pStyle w:val="ListParagraph"/>
        <w:numPr>
          <w:ilvl w:val="0"/>
          <w:numId w:val="1"/>
        </w:numPr>
        <w:spacing w:after="80"/>
      </w:pPr>
      <w:r>
        <w:t xml:space="preserve">Hypothesis tests: scipy.stats — chi2_contingency, f_oneway (one-way ANOVA), pearsonr.</w:t>
      </w:r>
    </w:p>
    <w:p>
      <w:pPr>
        <w:pStyle w:val="ListParagraph"/>
        <w:numPr>
          <w:ilvl w:val="0"/>
          <w:numId w:val="1"/>
        </w:numPr>
        <w:spacing w:after="80"/>
      </w:pPr>
      <w:r>
        <w:t xml:space="preserve">Confidence interval: scipy.stats.t.interval at 95% confidence, df = n-1.</w:t>
      </w:r>
    </w:p>
    <w:p>
      <w:pPr>
        <w:pStyle w:val="ListParagraph"/>
        <w:numPr>
          <w:ilvl w:val="0"/>
          <w:numId w:val="1"/>
        </w:numPr>
        <w:spacing w:after="80"/>
      </w:pPr>
      <w:r>
        <w:t xml:space="preserve">Classification: scikit-learn RandomForestClassifier; fraud model uses class_weight='balanced' given the 2.25% positive rate; stratified 75/25 splits, random_state=42.</w:t>
      </w:r>
    </w:p>
    <w:p>
      <w:pPr>
        <w:pStyle w:val="ListParagraph"/>
        <w:numPr>
          <w:ilvl w:val="0"/>
          <w:numId w:val="1"/>
        </w:numPr>
        <w:spacing w:after="80"/>
      </w:pPr>
      <w:r>
        <w:t xml:space="preserve">Trend regression: scikit-learn LinearRegression, fit period chosen to exclude the dataset's anomalous final months (see Section 3.3).</w:t>
      </w:r>
    </w:p>
    <w:p>
      <w:pPr>
        <w:pStyle w:val="ListParagraph"/>
        <w:numPr>
          <w:ilvl w:val="0"/>
          <w:numId w:val="1"/>
        </w:numPr>
        <w:spacing w:after="80"/>
      </w:pPr>
      <w:r>
        <w:t xml:space="preserve">Cross-dataset comparison: department names normalized to lowercase/trimmed across both files; no shared order/customer key exists, so the comparison is aggregate share vs. aggregate share, not a row-level join.</w:t>
      </w:r>
    </w:p>
    <w:p>
      <w:pPr>
        <w:pStyle w:val="ListParagraph"/>
        <w:numPr>
          <w:ilvl w:val="0"/>
          <w:numId w:val="1"/>
        </w:numPr>
        <w:spacing w:after="80"/>
      </w:pPr>
      <w:r>
        <w:t xml:space="preserve">Significance threshold used throughout: α = 0.05.</w:t>
      </w:r>
    </w:p>
    <w:p>
      <w:pPr>
        <w:spacing w:after="200"/>
      </w:pPr>
      <w:r>
        <w:rPr>
          <w:i/>
          <w:iCs/>
          <w:color w:val="595959"/>
          <w:sz w:val="19"/>
          <w:szCs w:val="19"/>
        </w:rPr>
        <w:t xml:space="preserve">Full reproducible code is in the accompanying Python script (dataco_analysis.py) and SQL script (DataCo_Analysis_SSMS.sql).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DataCo Supply Chain — Statistical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50" w:before="300"/>
    </w:pPr>
    <w:rPr>
      <w:rFonts w:ascii="Arial" w:cs="Arial" w:eastAsia="Arial" w:hAnsi="Arial"/>
      <w:b/>
      <w:bCs/>
      <w:color w:val="1F3864"/>
      <w:sz w:val="30"/>
      <w:szCs w:val="30"/>
    </w:rPr>
  </w:style>
  <w:style w:type="paragraph" w:styleId="Heading2">
    <w:name w:val="Heading 2"/>
    <w:basedOn w:val="Normal"/>
    <w:next w:val="Normal"/>
    <w:pPr>
      <w:spacing w:after="120" w:before="240"/>
    </w:pPr>
    <w:rPr>
      <w:rFonts w:ascii="Arial" w:cs="Arial" w:eastAsia="Arial" w:hAnsi="Arial"/>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2026-09-08T19:15:56.145Z</dcterms:created>
  <dcterms:modified xsi:type="dcterms:W3CDTF">2026-09-08T19:15:56.156Z</dcterms:modified>
</cp:coreProperties>
</file>

<file path=docProps/custom.xml><?xml version="1.0" encoding="utf-8"?>
<Properties xmlns="http://schemas.openxmlformats.org/officeDocument/2006/custom-properties" xmlns:vt="http://schemas.openxmlformats.org/officeDocument/2006/docPropsVTypes"/>
</file>