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V1 — Static Platform Guide</w:t>
      </w:r>
    </w:p>
    <w:p>
      <w:pPr>
        <w:jc w:val="center"/>
      </w:pPr>
      <w:r>
        <w:rPr>
          <w:i/>
          <w:sz w:val="20"/>
        </w:rPr>
        <w:t>Product + Technical Specification</w:t>
      </w:r>
    </w:p>
    <w:p>
      <w:pPr>
        <w:spacing w:after="60"/>
      </w:pPr>
      <w:r>
        <w:t>Purpose: Define the first version of the platform copilot as a static, grounded user manual delivered through conversation.</w:t>
      </w:r>
    </w:p>
    <w:p>
      <w:pPr>
        <w:spacing w:after="60"/>
      </w:pPr>
      <w:r>
        <w:t>Core boundary: V1 explains the platform interface, not the ESP, well, live data, current chart values, or screen-specific state.</w:t>
      </w:r>
    </w:p>
    <w:p>
      <w:pPr>
        <w:pStyle w:val="Heading1"/>
      </w:pPr>
      <w:r>
        <w:t>1. Product Definition</w:t>
      </w:r>
    </w:p>
    <w:p>
      <w:pPr>
        <w:spacing w:after="60"/>
      </w:pPr>
      <w:r>
        <w:t>V1 is a copilot that explains the platform to the user. It answers questions such as “what is this page?”, “what does this chart mean?”, “what are the alarm bands?”, and “how do I get to the configuration page?” using a curated static document that describes the platform.</w:t>
      </w:r>
    </w:p>
    <w:p>
      <w:pPr>
        <w:spacing w:after="60"/>
      </w:pPr>
      <w:r>
        <w:t>Mental model: the platform user manual, delivered conversationally.</w:t>
      </w:r>
    </w:p>
    <w:p>
      <w:pPr>
        <w:pStyle w:val="Heading1"/>
      </w:pPr>
      <w:r>
        <w:t>2.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0F6"/>
            <w:vAlign w:val="center"/>
          </w:tcPr>
          <w:p>
            <w:r>
              <w:rPr>
                <w:b/>
              </w:rPr>
              <w:t>In scope</w:t>
            </w:r>
          </w:p>
        </w:tc>
        <w:tc>
          <w:tcPr>
            <w:tcW w:type="dxa" w:w="5184"/>
            <w:shd w:fill="EAF0F6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84"/>
            <w:vAlign w:val="top"/>
          </w:tcPr>
          <w:p>
            <w:r>
              <w:t>Every route</w:t>
            </w:r>
          </w:p>
        </w:tc>
        <w:tc>
          <w:tcPr>
            <w:tcW w:type="dxa" w:w="5184"/>
            <w:vAlign w:val="top"/>
          </w:tcPr>
          <w:p>
            <w:r>
              <w:t>/, /working-status, /live-calculations, /events, /reports, /custom-testing, /ml-studio, /engineering, /engineering/workbench, /engineering/catalog, /engineering/catalog/pumps/$modelId, /esp-configuration, /reliability, /administration, /wells/$wellId</w:t>
            </w:r>
          </w:p>
        </w:tc>
      </w:tr>
      <w:tr>
        <w:tc>
          <w:tcPr>
            <w:tcW w:type="dxa" w:w="5184"/>
            <w:vAlign w:val="top"/>
          </w:tcPr>
          <w:p>
            <w:r>
              <w:t>Every workspace</w:t>
            </w:r>
          </w:p>
        </w:tc>
        <w:tc>
          <w:tcPr>
            <w:tcW w:type="dxa" w:w="5184"/>
            <w:vAlign w:val="top"/>
          </w:tcPr>
          <w:p>
            <w:r>
              <w:t>Operations, Engineering, Single-Well</w:t>
            </w:r>
          </w:p>
        </w:tc>
      </w:tr>
      <w:tr>
        <w:tc>
          <w:tcPr>
            <w:tcW w:type="dxa" w:w="5184"/>
            <w:vAlign w:val="top"/>
          </w:tcPr>
          <w:p>
            <w:r>
              <w:t>Major components</w:t>
            </w:r>
          </w:p>
        </w:tc>
        <w:tc>
          <w:tcPr>
            <w:tcW w:type="dxa" w:w="5184"/>
            <w:vAlign w:val="top"/>
          </w:tcPr>
          <w:p>
            <w:r>
              <w:t>EspWellVisual, LivePumpPerformanceCurve, PressureProfile, SubsystemEqualizer, KPI ribbons, ML fault spectrum</w:t>
            </w:r>
          </w:p>
        </w:tc>
      </w:tr>
      <w:tr>
        <w:tc>
          <w:tcPr>
            <w:tcW w:type="dxa" w:w="5184"/>
            <w:vAlign w:val="top"/>
          </w:tcPr>
          <w:p>
            <w:r>
              <w:t>Telemetry channels</w:t>
            </w:r>
          </w:p>
        </w:tc>
        <w:tc>
          <w:tcPr>
            <w:tcW w:type="dxa" w:w="5184"/>
            <w:vAlign w:val="top"/>
          </w:tcPr>
          <w:p>
            <w:r>
              <w:t>All 14 SCADA channels and what each measures</w:t>
            </w:r>
          </w:p>
        </w:tc>
      </w:tr>
      <w:tr>
        <w:tc>
          <w:tcPr>
            <w:tcW w:type="dxa" w:w="5184"/>
            <w:vAlign w:val="top"/>
          </w:tcPr>
          <w:p>
            <w:r>
              <w:t>Physics concepts</w:t>
            </w:r>
          </w:p>
        </w:tc>
        <w:tc>
          <w:tcPr>
            <w:tcW w:type="dxa" w:w="5184"/>
            <w:vAlign w:val="top"/>
          </w:tcPr>
          <w:p>
            <w:r>
              <w:t>TDH, Hazen-Williams friction, affinity laws, VFM, GVF</w:t>
            </w:r>
          </w:p>
        </w:tc>
      </w:tr>
      <w:tr>
        <w:tc>
          <w:tcPr>
            <w:tcW w:type="dxa" w:w="5184"/>
            <w:vAlign w:val="top"/>
          </w:tcPr>
          <w:p>
            <w:r>
              <w:t>Preset scenarios</w:t>
            </w:r>
          </w:p>
        </w:tc>
        <w:tc>
          <w:tcPr>
            <w:tcW w:type="dxa" w:w="5184"/>
            <w:vAlign w:val="top"/>
          </w:tcPr>
          <w:p>
            <w:r>
              <w:t>All 6 What-If presets and what each represents</w:t>
            </w:r>
          </w:p>
        </w:tc>
      </w:tr>
      <w:tr>
        <w:tc>
          <w:tcPr>
            <w:tcW w:type="dxa" w:w="5184"/>
            <w:vAlign w:val="top"/>
          </w:tcPr>
          <w:p>
            <w:r>
              <w:t>Navigation</w:t>
            </w:r>
          </w:p>
        </w:tc>
        <w:tc>
          <w:tcPr>
            <w:tcW w:type="dxa" w:w="5184"/>
            <w:vAlign w:val="top"/>
          </w:tcPr>
          <w:p>
            <w:r>
              <w:t>How to move from one page/workspace to another</w:t>
            </w:r>
          </w:p>
        </w:tc>
      </w:tr>
      <w:tr>
        <w:tc>
          <w:tcPr>
            <w:tcW w:type="dxa" w:w="5184"/>
            <w:vAlign w:val="top"/>
          </w:tcPr>
          <w:p>
            <w:r>
              <w:t>Glossary</w:t>
            </w:r>
          </w:p>
        </w:tc>
        <w:tc>
          <w:tcPr>
            <w:tcW w:type="dxa" w:w="5184"/>
            <w:vAlign w:val="top"/>
          </w:tcPr>
          <w:p>
            <w:r>
              <w:t>Standard ESP acronyms and definitions</w:t>
            </w:r>
          </w:p>
        </w:tc>
      </w:tr>
    </w:tbl>
    <w:p>
      <w:pPr>
        <w:spacing w:after="60"/>
      </w:pPr>
      <w:r>
        <w:t>Out of scope: specific well current state; specific chart current values; anything requiring live data; anything requiring screen context such as an error snapshot or simulated slider state; configuration comparisons (V3).</w:t>
      </w:r>
    </w:p>
    <w:p>
      <w:pPr>
        <w:pStyle w:val="Heading1"/>
      </w:pPr>
      <w:r>
        <w:t>3. User Question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0F6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84"/>
            <w:shd w:fill="EAF0F6"/>
            <w:vAlign w:val="center"/>
          </w:tcPr>
          <w:p>
            <w:r>
              <w:rPr>
                <w:b/>
              </w:rPr>
              <w:t>Representative questions</w:t>
            </w:r>
          </w:p>
        </w:tc>
      </w:tr>
      <w:tr>
        <w:tc>
          <w:tcPr>
            <w:tcW w:type="dxa" w:w="5184"/>
            <w:vAlign w:val="top"/>
          </w:tcPr>
          <w:p>
            <w:r>
              <w:t>Navigation</w:t>
            </w:r>
          </w:p>
        </w:tc>
        <w:tc>
          <w:tcPr>
            <w:tcW w:type="dxa" w:w="5184"/>
            <w:vAlign w:val="top"/>
          </w:tcPr>
          <w:p>
            <w:r>
              <w:t>How do I get to Reliability? Where do I configure sensor thresholds? What is in Engineering?</w:t>
            </w:r>
          </w:p>
        </w:tc>
      </w:tr>
      <w:tr>
        <w:tc>
          <w:tcPr>
            <w:tcW w:type="dxa" w:w="5184"/>
            <w:vAlign w:val="top"/>
          </w:tcPr>
          <w:p>
            <w:r>
              <w:t>Component explanation</w:t>
            </w:r>
          </w:p>
        </w:tc>
        <w:tc>
          <w:tcPr>
            <w:tcW w:type="dxa" w:w="5184"/>
            <w:vAlign w:val="top"/>
          </w:tcPr>
          <w:p>
            <w:r>
              <w:t>What does the Subsystem Equalizer show? What is the Pressure Profile? Explain the ML fault spectrum.</w:t>
            </w:r>
          </w:p>
        </w:tc>
      </w:tr>
      <w:tr>
        <w:tc>
          <w:tcPr>
            <w:tcW w:type="dxa" w:w="5184"/>
            <w:vAlign w:val="top"/>
          </w:tcPr>
          <w:p>
            <w:r>
              <w:t>Concept definition</w:t>
            </w:r>
          </w:p>
        </w:tc>
        <w:tc>
          <w:tcPr>
            <w:tcW w:type="dxa" w:w="5184"/>
            <w:vAlign w:val="top"/>
          </w:tcPr>
          <w:p>
            <w:r>
              <w:t>What is TDH? What does GVF mean? Include where each appears in the platform.</w:t>
            </w:r>
          </w:p>
        </w:tc>
      </w:tr>
      <w:tr>
        <w:tc>
          <w:tcPr>
            <w:tcW w:type="dxa" w:w="5184"/>
            <w:vAlign w:val="top"/>
          </w:tcPr>
          <w:p>
            <w:r>
              <w:t>Chart reading</w:t>
            </w:r>
          </w:p>
        </w:tc>
        <w:tc>
          <w:tcPr>
            <w:tcW w:type="dxa" w:w="5184"/>
            <w:vAlign w:val="top"/>
          </w:tcPr>
          <w:p>
            <w:r>
              <w:t>How do I read the pump curve? What is the operating point? What do the equalizer bars mean?</w:t>
            </w:r>
          </w:p>
        </w:tc>
      </w:tr>
      <w:tr>
        <w:tc>
          <w:tcPr>
            <w:tcW w:type="dxa" w:w="5184"/>
            <w:vAlign w:val="top"/>
          </w:tcPr>
          <w:p>
            <w:r>
              <w:t>Platform concepts</w:t>
            </w:r>
          </w:p>
        </w:tc>
        <w:tc>
          <w:tcPr>
            <w:tcW w:type="dxa" w:w="5184"/>
            <w:vAlign w:val="top"/>
          </w:tcPr>
          <w:p>
            <w:r>
              <w:t>What is the difference between Operations and Engineering? What is the What-If simulator for? What does ML Studio do?</w:t>
            </w:r>
          </w:p>
        </w:tc>
      </w:tr>
    </w:tbl>
    <w:p>
      <w:pPr>
        <w:pStyle w:val="Heading1"/>
      </w:pPr>
      <w:r>
        <w:t>4. ui_map — Static Source of Truth</w:t>
      </w:r>
    </w:p>
    <w:p>
      <w:pPr>
        <w:spacing w:after="60"/>
      </w:pPr>
      <w:r>
        <w:t>The ui_map is one structured document containing the platform’s self-description. It is content, not application code. The platform team owns it and can update it whenever the UI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0F6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EAF0F6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>
              <w:t>id</w:t>
            </w:r>
          </w:p>
        </w:tc>
        <w:tc>
          <w:tcPr>
            <w:tcW w:type="dxa" w:w="5184"/>
            <w:vAlign w:val="top"/>
          </w:tcPr>
          <w:p>
            <w:r>
              <w:t>Stable identifier, e.g. route.working-status or component.subsystem-equalizer</w:t>
            </w:r>
          </w:p>
        </w:tc>
      </w:tr>
      <w:tr>
        <w:tc>
          <w:tcPr>
            <w:tcW w:type="dxa" w:w="5184"/>
            <w:vAlign w:val="top"/>
          </w:tcPr>
          <w:p>
            <w:r>
              <w:t>type</w:t>
            </w:r>
          </w:p>
        </w:tc>
        <w:tc>
          <w:tcPr>
            <w:tcW w:type="dxa" w:w="5184"/>
            <w:vAlign w:val="top"/>
          </w:tcPr>
          <w:p>
            <w:r>
              <w:t>route, component, concept, navigation, glossary</w:t>
            </w:r>
          </w:p>
        </w:tc>
      </w:tr>
      <w:tr>
        <w:tc>
          <w:tcPr>
            <w:tcW w:type="dxa" w:w="5184"/>
            <w:vAlign w:val="top"/>
          </w:tcPr>
          <w:p>
            <w:r>
              <w:t>title</w:t>
            </w:r>
          </w:p>
        </w:tc>
        <w:tc>
          <w:tcPr>
            <w:tcW w:type="dxa" w:w="5184"/>
            <w:vAlign w:val="top"/>
          </w:tcPr>
          <w:p>
            <w:r>
              <w:t>Human-readable name</w:t>
            </w:r>
          </w:p>
        </w:tc>
      </w:tr>
      <w:tr>
        <w:tc>
          <w:tcPr>
            <w:tcW w:type="dxa" w:w="5184"/>
            <w:vAlign w:val="top"/>
          </w:tcPr>
          <w:p>
            <w:r>
              <w:t>path</w:t>
            </w:r>
          </w:p>
        </w:tc>
        <w:tc>
          <w:tcPr>
            <w:tcW w:type="dxa" w:w="5184"/>
            <w:vAlign w:val="top"/>
          </w:tcPr>
          <w:p>
            <w:r>
              <w:t>URL path when the entry represents a route</w:t>
            </w:r>
          </w:p>
        </w:tc>
      </w:tr>
      <w:tr>
        <w:tc>
          <w:tcPr>
            <w:tcW w:type="dxa" w:w="5184"/>
            <w:vAlign w:val="top"/>
          </w:tcPr>
          <w:p>
            <w:r>
              <w:t>workspace</w:t>
            </w:r>
          </w:p>
        </w:tc>
        <w:tc>
          <w:tcPr>
            <w:tcW w:type="dxa" w:w="5184"/>
            <w:vAlign w:val="top"/>
          </w:tcPr>
          <w:p>
            <w:r>
              <w:t>Operations, Engineering, or Single-Well</w:t>
            </w:r>
          </w:p>
        </w:tc>
      </w:tr>
      <w:tr>
        <w:tc>
          <w:tcPr>
            <w:tcW w:type="dxa" w:w="5184"/>
            <w:vAlign w:val="top"/>
          </w:tcPr>
          <w:p>
            <w:r>
              <w:t>summary</w:t>
            </w:r>
          </w:p>
        </w:tc>
        <w:tc>
          <w:tcPr>
            <w:tcW w:type="dxa" w:w="5184"/>
            <w:vAlign w:val="top"/>
          </w:tcPr>
          <w:p>
            <w:r>
              <w:t>One-sentence explanation</w:t>
            </w:r>
          </w:p>
        </w:tc>
      </w:tr>
      <w:tr>
        <w:tc>
          <w:tcPr>
            <w:tcW w:type="dxa" w:w="5184"/>
            <w:vAlign w:val="top"/>
          </w:tcPr>
          <w:p>
            <w:r>
              <w:t>description</w:t>
            </w:r>
          </w:p>
        </w:tc>
        <w:tc>
          <w:tcPr>
            <w:tcW w:type="dxa" w:w="5184"/>
            <w:vAlign w:val="top"/>
          </w:tcPr>
          <w:p>
            <w:r>
              <w:t>Full explanation of the page/component/concept</w:t>
            </w:r>
          </w:p>
        </w:tc>
      </w:tr>
      <w:tr>
        <w:tc>
          <w:tcPr>
            <w:tcW w:type="dxa" w:w="5184"/>
            <w:vAlign w:val="top"/>
          </w:tcPr>
          <w:p>
            <w:r>
              <w:t>related</w:t>
            </w:r>
          </w:p>
        </w:tc>
        <w:tc>
          <w:tcPr>
            <w:tcW w:type="dxa" w:w="5184"/>
            <w:vAlign w:val="top"/>
          </w:tcPr>
          <w:p>
            <w:r>
              <w:t>Cross-references to other ui_map entries</w:t>
            </w:r>
          </w:p>
        </w:tc>
      </w:tr>
      <w:tr>
        <w:tc>
          <w:tcPr>
            <w:tcW w:type="dxa" w:w="5184"/>
            <w:vAlign w:val="top"/>
          </w:tcPr>
          <w:p>
            <w:r>
              <w:t>aliases</w:t>
            </w:r>
          </w:p>
        </w:tc>
        <w:tc>
          <w:tcPr>
            <w:tcW w:type="dxa" w:w="5184"/>
            <w:vAlign w:val="top"/>
          </w:tcPr>
          <w:p>
            <w:r>
              <w:t>Terms users may naturally use, e.g. equalizer, subsystem bars</w:t>
            </w:r>
          </w:p>
        </w:tc>
      </w:tr>
    </w:tbl>
    <w:p>
      <w:pPr>
        <w:spacing w:after="60"/>
      </w:pPr>
      <w:r>
        <w:t>Example entry:</w:t>
      </w:r>
    </w:p>
    <w:p>
      <w:pPr>
        <w:pStyle w:val="NoSpacing"/>
      </w:pPr>
      <w:r>
        <w:rPr>
          <w:rFonts w:ascii="Consolas" w:hAnsi="Consolas"/>
          <w:sz w:val="15"/>
        </w:rPr>
        <w:t>- id: component.subsystem-equalizer</w:t>
        <w:br/>
        <w:t xml:space="preserve">  type: component</w:t>
        <w:br/>
        <w:t xml:space="preserve">  title: Subsystem Equalizer</w:t>
        <w:br/>
        <w:t xml:space="preserve">  used_on: [route.wells, route.working-status]</w:t>
        <w:br/>
        <w:t xml:space="preserve">  summary: Four bars showing Hydraulics, Electrical, Thermal, and Mechanical deviation.</w:t>
        <w:br/>
        <w:t xml:space="preserve">  description: |</w:t>
        <w:br/>
        <w:t xml:space="preserve">    The Subsystem Equalizer renders four independent deviation bars, one per ESP</w:t>
        <w:br/>
        <w:t xml:space="preserve">    subsystem. Each bar shows deviation from the nominal baseline in percent.</w:t>
        <w:br/>
        <w:t xml:space="preserve">    Bars turn amber at +/-15% deviation and crimson at +/-30%. Hovering a bar</w:t>
        <w:br/>
        <w:t xml:space="preserve">    shows the underlying metric names and current values.</w:t>
        <w:br/>
        <w:t xml:space="preserve">  related: [concept.tdh, concept.water-cut, concept.vibration]</w:t>
        <w:br/>
        <w:t xml:space="preserve">  aliases: [equalizer, subsystem bars, four bar chart]</w:t>
      </w:r>
    </w:p>
    <w:p>
      <w:pPr>
        <w:pStyle w:val="Heading1"/>
      </w:pPr>
      <w:r>
        <w:t>5. Storage and Retrieval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0F6"/>
            <w:vAlign w:val="center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3456"/>
            <w:shd w:fill="EAF0F6"/>
            <w:vAlign w:val="center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3456"/>
            <w:shd w:fill="EAF0F6"/>
            <w:vAlign w:val="center"/>
          </w:tcPr>
          <w:p>
            <w:r>
              <w:rPr>
                <w:b/>
              </w:rPr>
              <w:t>Query method</w:t>
            </w:r>
          </w:p>
        </w:tc>
      </w:tr>
      <w:tr>
        <w:tc>
          <w:tcPr>
            <w:tcW w:type="dxa" w:w="3456"/>
            <w:vAlign w:val="top"/>
          </w:tcPr>
          <w:p>
            <w:r>
              <w:t>A</w:t>
            </w:r>
          </w:p>
        </w:tc>
        <w:tc>
          <w:tcPr>
            <w:tcW w:type="dxa" w:w="3456"/>
            <w:vAlign w:val="top"/>
          </w:tcPr>
          <w:p>
            <w:r>
              <w:t>YAML loaded at agent startup</w:t>
            </w:r>
          </w:p>
        </w:tc>
        <w:tc>
          <w:tcPr>
            <w:tcW w:type="dxa" w:w="3456"/>
            <w:vAlign w:val="top"/>
          </w:tcPr>
          <w:p>
            <w:r>
              <w:t>Direct lookup by ID</w:t>
            </w:r>
          </w:p>
        </w:tc>
      </w:tr>
      <w:tr>
        <w:tc>
          <w:tcPr>
            <w:tcW w:type="dxa" w:w="3456"/>
            <w:vAlign w:val="top"/>
          </w:tcPr>
          <w:p>
            <w:r>
              <w:t>B</w:t>
            </w:r>
          </w:p>
        </w:tc>
        <w:tc>
          <w:tcPr>
            <w:tcW w:type="dxa" w:w="3456"/>
            <w:vAlign w:val="top"/>
          </w:tcPr>
          <w:p>
            <w:r>
              <w:t>kb_chunks with source_domain='ui_map'</w:t>
            </w:r>
          </w:p>
        </w:tc>
        <w:tc>
          <w:tcPr>
            <w:tcW w:type="dxa" w:w="3456"/>
            <w:vAlign w:val="top"/>
          </w:tcPr>
          <w:p>
            <w:r>
              <w:t>Semantic search through existing search_knowledge</w:t>
            </w:r>
          </w:p>
        </w:tc>
      </w:tr>
      <w:tr>
        <w:tc>
          <w:tcPr>
            <w:tcW w:type="dxa" w:w="3456"/>
            <w:vAlign w:val="top"/>
          </w:tcPr>
          <w:p>
            <w:r>
              <w:t>C — Recommended</w:t>
            </w:r>
          </w:p>
        </w:tc>
        <w:tc>
          <w:tcPr>
            <w:tcW w:type="dxa" w:w="3456"/>
            <w:vAlign w:val="top"/>
          </w:tcPr>
          <w:p>
            <w:r>
              <w:t>YAML source + indexed into KB</w:t>
            </w:r>
          </w:p>
        </w:tc>
        <w:tc>
          <w:tcPr>
            <w:tcW w:type="dxa" w:w="3456"/>
            <w:vAlign w:val="top"/>
          </w:tcPr>
          <w:p>
            <w:r>
              <w:t>Fast lookup plus fuzzy/semantic search</w:t>
            </w:r>
          </w:p>
        </w:tc>
      </w:tr>
    </w:tbl>
    <w:p>
      <w:pPr>
        <w:spacing w:after="60"/>
      </w:pPr>
      <w:r>
        <w:t>Recommendation: Option C. YAML remains the source of truth. A small ingestion script loads it into kb_chunks so the existing retrieval pipeline can be reused unchanged.</w:t>
      </w:r>
    </w:p>
    <w:p>
      <w:pPr>
        <w:spacing w:after="60"/>
      </w:pPr>
      <w:r>
        <w:t>Retrieval risk: ui_map chunks can compete with ESP knowledge-base documents. Mitigation: tag all ui_map chunks with source_domain='ui_map' and have OP15 retrieval filter on that domain. General OP06 retrieval remains unchanged.</w:t>
      </w:r>
    </w:p>
    <w:p>
      <w:pPr>
        <w:pStyle w:val="Heading1"/>
      </w:pPr>
      <w:r>
        <w:t>6. End-to-End Architecture</w:t>
      </w:r>
    </w:p>
    <w:p>
      <w:pPr>
        <w:pStyle w:val="ListBullet"/>
        <w:spacing w:after="20"/>
      </w:pPr>
      <w:r>
        <w:t>1. User asks: “What does the Subsystem Equalizer show?”</w:t>
      </w:r>
    </w:p>
    <w:p>
      <w:pPr>
        <w:pStyle w:val="ListBullet"/>
        <w:spacing w:after="20"/>
      </w:pPr>
      <w:r>
        <w:t>2. Frontend sends { session_id, message, ui_context: { selected_route: "/wells/FS-17" } }</w:t>
      </w:r>
    </w:p>
    <w:p>
      <w:pPr>
        <w:pStyle w:val="ListBullet"/>
        <w:spacing w:after="20"/>
      </w:pPr>
      <w:r>
        <w:t>3. Context Resolver reads message + selected_route</w:t>
      </w:r>
    </w:p>
    <w:p>
      <w:pPr>
        <w:pStyle w:val="ListBullet"/>
        <w:spacing w:after="20"/>
      </w:pPr>
      <w:r>
        <w:t>4. Router classifies the request as PLATFORM_GUIDE / OP15</w:t>
      </w:r>
    </w:p>
    <w:p>
      <w:pPr>
        <w:pStyle w:val="ListBullet"/>
        <w:spacing w:after="20"/>
      </w:pPr>
      <w:r>
        <w:t>5. Plan Builder creates exactly one tool call: lookup_ui_element(query, route_context)</w:t>
      </w:r>
    </w:p>
    <w:p>
      <w:pPr>
        <w:pStyle w:val="ListBullet"/>
        <w:spacing w:after="20"/>
      </w:pPr>
      <w:r>
        <w:t>6. Tool Gateway queries ui_map (YAML or kb_chunks filtered by source_domain)</w:t>
      </w:r>
    </w:p>
    <w:p>
      <w:pPr>
        <w:pStyle w:val="ListBullet"/>
        <w:spacing w:after="20"/>
      </w:pPr>
      <w:r>
        <w:t>7. QoD validates that a matching ui_map entry exists</w:t>
      </w:r>
    </w:p>
    <w:p>
      <w:pPr>
        <w:pStyle w:val="ListBullet"/>
        <w:spacing w:after="20"/>
      </w:pPr>
      <w:r>
        <w:t>8. Evidence Pack seals the ui_map entry as the only evidence</w:t>
      </w:r>
    </w:p>
    <w:p>
      <w:pPr>
        <w:pStyle w:val="ListBullet"/>
        <w:spacing w:after="20"/>
      </w:pPr>
      <w:r>
        <w:t>9. XAI narrates the answer and cites the ui_map entry ID</w:t>
      </w:r>
    </w:p>
    <w:p>
      <w:pPr>
        <w:pStyle w:val="ListBullet"/>
        <w:spacing w:after="20"/>
      </w:pPr>
      <w:r>
        <w:t>10. Response returns a plain explanation plus optional related navigation</w:t>
      </w:r>
    </w:p>
    <w:p>
      <w:pPr>
        <w:spacing w:after="60"/>
      </w:pPr>
      <w:r>
        <w:t>Response constraints: no cards, no live physics, no ESP data. The answer is grounded only in the relevant ui_map content plus the LLM’s narration.</w:t>
      </w:r>
    </w:p>
    <w:p>
      <w:pPr>
        <w:spacing w:after="60"/>
      </w:pPr>
      <w:r>
        <w:t>Latency target: &lt;5 seconds per query, approximately the current OP06 experience.</w:t>
      </w:r>
    </w:p>
    <w:p>
      <w:pPr>
        <w:pStyle w:val="Heading1"/>
      </w:pPr>
      <w:r>
        <w:t>7. Dashboard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0F6"/>
            <w:vAlign w:val="center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  <w:shd w:fill="EAF0F6"/>
            <w:vAlign w:val="center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592"/>
            <w:shd w:fill="EAF0F6"/>
            <w:vAlign w:val="cente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592"/>
            <w:shd w:fill="EAF0F6"/>
            <w:vAlign w:val="center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592"/>
            <w:vAlign w:val="top"/>
          </w:tcPr>
          <w:p>
            <w:r>
              <w:t>1</w:t>
            </w:r>
          </w:p>
        </w:tc>
        <w:tc>
          <w:tcPr>
            <w:tcW w:type="dxa" w:w="2592"/>
            <w:vAlign w:val="top"/>
          </w:tcPr>
          <w:p>
            <w:r>
              <w:t>Send ui_context.selected_route in query payload</w:t>
            </w:r>
          </w:p>
        </w:tc>
        <w:tc>
          <w:tcPr>
            <w:tcW w:type="dxa" w:w="2592"/>
            <w:vAlign w:val="top"/>
          </w:tcPr>
          <w:p>
            <w:r>
              <w:t>agentClient.ts</w:t>
            </w:r>
          </w:p>
        </w:tc>
        <w:tc>
          <w:tcPr>
            <w:tcW w:type="dxa" w:w="2592"/>
            <w:vAlign w:val="top"/>
          </w:tcPr>
          <w:p>
            <w:r>
              <w:t>~10 lines</w:t>
            </w:r>
          </w:p>
        </w:tc>
      </w:tr>
      <w:tr>
        <w:tc>
          <w:tcPr>
            <w:tcW w:type="dxa" w:w="2592"/>
            <w:vAlign w:val="top"/>
          </w:tcPr>
          <w:p>
            <w:r>
              <w:t>2</w:t>
            </w:r>
          </w:p>
        </w:tc>
        <w:tc>
          <w:tcPr>
            <w:tcW w:type="dxa" w:w="2592"/>
            <w:vAlign w:val="top"/>
          </w:tcPr>
          <w:p>
            <w:r>
              <w:t>Fix frame.visualization.card_ids → frame.card_ids mapping</w:t>
            </w:r>
          </w:p>
        </w:tc>
        <w:tc>
          <w:tcPr>
            <w:tcW w:type="dxa" w:w="2592"/>
            <w:vAlign w:val="top"/>
          </w:tcPr>
          <w:p>
            <w:r>
              <w:t>types/frames.ts + ndjsonStream.ts</w:t>
            </w:r>
          </w:p>
        </w:tc>
        <w:tc>
          <w:tcPr>
            <w:tcW w:type="dxa" w:w="2592"/>
            <w:vAlign w:val="top"/>
          </w:tcPr>
          <w:p>
            <w:r>
              <w:t>~5 lines</w:t>
            </w:r>
          </w:p>
        </w:tc>
      </w:tr>
      <w:tr>
        <w:tc>
          <w:tcPr>
            <w:tcW w:type="dxa" w:w="2592"/>
            <w:vAlign w:val="top"/>
          </w:tcPr>
          <w:p>
            <w:r>
              <w:t>3</w:t>
            </w:r>
          </w:p>
        </w:tc>
        <w:tc>
          <w:tcPr>
            <w:tcW w:type="dxa" w:w="2592"/>
            <w:vAlign w:val="top"/>
          </w:tcPr>
          <w:p>
            <w:r>
              <w:t>Point .env to http://127.0.0.1:8091</w:t>
            </w:r>
          </w:p>
        </w:tc>
        <w:tc>
          <w:tcPr>
            <w:tcW w:type="dxa" w:w="2592"/>
            <w:vAlign w:val="top"/>
          </w:tcPr>
          <w:p>
            <w:r>
              <w:t>.env</w:t>
            </w:r>
          </w:p>
        </w:tc>
        <w:tc>
          <w:tcPr>
            <w:tcW w:type="dxa" w:w="2592"/>
            <w:vAlign w:val="top"/>
          </w:tcPr>
          <w:p>
            <w:r>
              <w:t>1 line</w:t>
            </w:r>
          </w:p>
        </w:tc>
      </w:tr>
    </w:tbl>
    <w:p>
      <w:pPr>
        <w:spacing w:after="60"/>
      </w:pPr>
      <w:r>
        <w:t>No new dashboard components or redesign are required. The existing dock UI and rendering pipeline remain unchanged.</w:t>
      </w:r>
    </w:p>
    <w:p>
      <w:pPr>
        <w:spacing w:after="60"/>
      </w:pPr>
      <w:r>
        <w:t>Optional: add a small “What is this?” help icon per route that pre-fills a query. Estimated ~30 minutes per page across ~15 pages. Not required for V1.</w:t>
      </w:r>
    </w:p>
    <w:p>
      <w:pPr>
        <w:pStyle w:val="Heading1"/>
      </w:pPr>
      <w:r>
        <w:t>8. Agent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0F6"/>
            <w:vAlign w:val="center"/>
          </w:tcPr>
          <w:p>
            <w:r>
              <w:rPr>
                <w:b/>
              </w:rPr>
              <w:t>#</w:t>
            </w:r>
          </w:p>
        </w:tc>
        <w:tc>
          <w:tcPr>
            <w:tcW w:type="dxa" w:w="3456"/>
            <w:shd w:fill="EAF0F6"/>
            <w:vAlign w:val="center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3456"/>
            <w:shd w:fill="EAF0F6"/>
            <w:vAlign w:val="center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3456"/>
            <w:vAlign w:val="top"/>
          </w:tcPr>
          <w:p>
            <w:r>
              <w:t>1</w:t>
            </w:r>
          </w:p>
        </w:tc>
        <w:tc>
          <w:tcPr>
            <w:tcW w:type="dxa" w:w="3456"/>
            <w:vAlign w:val="top"/>
          </w:tcPr>
          <w:p>
            <w:r>
              <w:t>Add OP15_PLATFORM_GUIDE, or extend OP06 with a mode flag</w:t>
            </w:r>
          </w:p>
        </w:tc>
        <w:tc>
          <w:tcPr>
            <w:tcW w:type="dxa" w:w="3456"/>
            <w:vAlign w:val="top"/>
          </w:tcPr>
          <w:p>
            <w:r>
              <w:t>Objective YAML</w:t>
            </w:r>
          </w:p>
        </w:tc>
      </w:tr>
      <w:tr>
        <w:tc>
          <w:tcPr>
            <w:tcW w:type="dxa" w:w="3456"/>
            <w:vAlign w:val="top"/>
          </w:tcPr>
          <w:p>
            <w:r>
              <w:t>2</w:t>
            </w:r>
          </w:p>
        </w:tc>
        <w:tc>
          <w:tcPr>
            <w:tcW w:type="dxa" w:w="3456"/>
            <w:vAlign w:val="top"/>
          </w:tcPr>
          <w:p>
            <w:r>
              <w:t>Add lookup_ui_element(query, route_hint)</w:t>
            </w:r>
          </w:p>
        </w:tc>
        <w:tc>
          <w:tcPr>
            <w:tcW w:type="dxa" w:w="3456"/>
            <w:vAlign w:val="top"/>
          </w:tcPr>
          <w:p>
            <w:r>
              <w:t>Tool definition</w:t>
            </w:r>
          </w:p>
        </w:tc>
      </w:tr>
      <w:tr>
        <w:tc>
          <w:tcPr>
            <w:tcW w:type="dxa" w:w="3456"/>
            <w:vAlign w:val="top"/>
          </w:tcPr>
          <w:p>
            <w:r>
              <w:t>3</w:t>
            </w:r>
          </w:p>
        </w:tc>
        <w:tc>
          <w:tcPr>
            <w:tcW w:type="dxa" w:w="3456"/>
            <w:vAlign w:val="top"/>
          </w:tcPr>
          <w:p>
            <w:r>
              <w:t>Add ui_map adapter for YAML / kb_chunks filtered by source_domain='ui_map'</w:t>
            </w:r>
          </w:p>
        </w:tc>
        <w:tc>
          <w:tcPr>
            <w:tcW w:type="dxa" w:w="3456"/>
            <w:vAlign w:val="top"/>
          </w:tcPr>
          <w:p>
            <w:r>
              <w:t>Adapter</w:t>
            </w:r>
          </w:p>
        </w:tc>
      </w:tr>
      <w:tr>
        <w:tc>
          <w:tcPr>
            <w:tcW w:type="dxa" w:w="3456"/>
            <w:vAlign w:val="top"/>
          </w:tcPr>
          <w:p>
            <w:r>
              <w:t>4</w:t>
            </w:r>
          </w:p>
        </w:tc>
        <w:tc>
          <w:tcPr>
            <w:tcW w:type="dxa" w:w="3456"/>
            <w:vAlign w:val="top"/>
          </w:tcPr>
          <w:p>
            <w:r>
              <w:t>Add narrator_platform_v1.txt</w:t>
            </w:r>
          </w:p>
        </w:tc>
        <w:tc>
          <w:tcPr>
            <w:tcW w:type="dxa" w:w="3456"/>
            <w:vAlign w:val="top"/>
          </w:tcPr>
          <w:p>
            <w:r>
              <w:t>Prompt</w:t>
            </w:r>
          </w:p>
        </w:tc>
      </w:tr>
      <w:tr>
        <w:tc>
          <w:tcPr>
            <w:tcW w:type="dxa" w:w="3456"/>
            <w:vAlign w:val="top"/>
          </w:tcPr>
          <w:p>
            <w:r>
              <w:t>5</w:t>
            </w:r>
          </w:p>
        </w:tc>
        <w:tc>
          <w:tcPr>
            <w:tcW w:type="dxa" w:w="3456"/>
            <w:vAlign w:val="top"/>
          </w:tcPr>
          <w:p>
            <w:r>
              <w:t>Recognize “what is this page / how do I / what does X show” as PLATFORM_GUIDE</w:t>
            </w:r>
          </w:p>
        </w:tc>
        <w:tc>
          <w:tcPr>
            <w:tcW w:type="dxa" w:w="3456"/>
            <w:vAlign w:val="top"/>
          </w:tcPr>
          <w:p>
            <w:r>
              <w:t>Router rule</w:t>
            </w:r>
          </w:p>
        </w:tc>
      </w:tr>
      <w:tr>
        <w:tc>
          <w:tcPr>
            <w:tcW w:type="dxa" w:w="3456"/>
            <w:vAlign w:val="top"/>
          </w:tcPr>
          <w:p>
            <w:r>
              <w:t>6</w:t>
            </w:r>
          </w:p>
        </w:tc>
        <w:tc>
          <w:tcPr>
            <w:tcW w:type="dxa" w:w="3456"/>
            <w:vAlign w:val="top"/>
          </w:tcPr>
          <w:p>
            <w:r>
              <w:t>Pass selected_route through the pipeline</w:t>
            </w:r>
          </w:p>
        </w:tc>
        <w:tc>
          <w:tcPr>
            <w:tcW w:type="dxa" w:w="3456"/>
            <w:vAlign w:val="top"/>
          </w:tcPr>
          <w:p>
            <w:r>
              <w:t>Context Resolver update</w:t>
            </w:r>
          </w:p>
        </w:tc>
      </w:tr>
      <w:tr>
        <w:tc>
          <w:tcPr>
            <w:tcW w:type="dxa" w:w="3456"/>
            <w:vAlign w:val="top"/>
          </w:tcPr>
          <w:p>
            <w:r>
              <w:t>7</w:t>
            </w:r>
          </w:p>
        </w:tc>
        <w:tc>
          <w:tcPr>
            <w:tcW w:type="dxa" w:w="3456"/>
            <w:vAlign w:val="top"/>
          </w:tcPr>
          <w:p>
            <w:r>
              <w:t>Load ui_map YAML into kb_chunks at startup or on demand</w:t>
            </w:r>
          </w:p>
        </w:tc>
        <w:tc>
          <w:tcPr>
            <w:tcW w:type="dxa" w:w="3456"/>
            <w:vAlign w:val="top"/>
          </w:tcPr>
          <w:p>
            <w:r>
              <w:t>Ingestion script</w:t>
            </w:r>
          </w:p>
        </w:tc>
      </w:tr>
    </w:tbl>
    <w:p>
      <w:pPr>
        <w:spacing w:after="60"/>
      </w:pPr>
      <w:r>
        <w:t>Architecture impact: none of the existing pipeline infrastructure needs to be redesigned. V1 follows the same objective/tool/prompt pattern used by OP02, OP04, OP05, and OP14.</w:t>
      </w:r>
    </w:p>
    <w:p>
      <w:pPr>
        <w:pStyle w:val="Heading1"/>
      </w:pPr>
      <w:r>
        <w:t>9. Content Authoring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0F6"/>
            <w:vAlign w:val="center"/>
          </w:tcPr>
          <w:p>
            <w:r>
              <w:rPr>
                <w:b/>
              </w:rPr>
              <w:t>Content area</w:t>
            </w:r>
          </w:p>
        </w:tc>
        <w:tc>
          <w:tcPr>
            <w:tcW w:type="dxa" w:w="5184"/>
            <w:shd w:fill="EAF0F6"/>
            <w:vAlign w:val="center"/>
          </w:tcPr>
          <w:p>
            <w:r>
              <w:rPr>
                <w:b/>
              </w:rPr>
              <w:t>Estimated entries</w:t>
            </w:r>
          </w:p>
        </w:tc>
      </w:tr>
      <w:tr>
        <w:tc>
          <w:tcPr>
            <w:tcW w:type="dxa" w:w="5184"/>
            <w:vAlign w:val="top"/>
          </w:tcPr>
          <w:p>
            <w:r>
              <w:t>Routes</w:t>
            </w:r>
          </w:p>
        </w:tc>
        <w:tc>
          <w:tcPr>
            <w:tcW w:type="dxa" w:w="5184"/>
            <w:vAlign w:val="top"/>
          </w:tcPr>
          <w:p>
            <w:r>
              <w:t>15</w:t>
            </w:r>
          </w:p>
        </w:tc>
      </w:tr>
      <w:tr>
        <w:tc>
          <w:tcPr>
            <w:tcW w:type="dxa" w:w="5184"/>
            <w:vAlign w:val="top"/>
          </w:tcPr>
          <w:p>
            <w:r>
              <w:t>Major components</w:t>
            </w:r>
          </w:p>
        </w:tc>
        <w:tc>
          <w:tcPr>
            <w:tcW w:type="dxa" w:w="5184"/>
            <w:vAlign w:val="top"/>
          </w:tcPr>
          <w:p>
            <w:r>
              <w:t>8–10</w:t>
            </w:r>
          </w:p>
        </w:tc>
      </w:tr>
      <w:tr>
        <w:tc>
          <w:tcPr>
            <w:tcW w:type="dxa" w:w="5184"/>
            <w:vAlign w:val="top"/>
          </w:tcPr>
          <w:p>
            <w:r>
              <w:t>Telemetry channels</w:t>
            </w:r>
          </w:p>
        </w:tc>
        <w:tc>
          <w:tcPr>
            <w:tcW w:type="dxa" w:w="5184"/>
            <w:vAlign w:val="top"/>
          </w:tcPr>
          <w:p>
            <w:r>
              <w:t>14</w:t>
            </w:r>
          </w:p>
        </w:tc>
      </w:tr>
      <w:tr>
        <w:tc>
          <w:tcPr>
            <w:tcW w:type="dxa" w:w="5184"/>
            <w:vAlign w:val="top"/>
          </w:tcPr>
          <w:p>
            <w:r>
              <w:t>ML fault classes</w:t>
            </w:r>
          </w:p>
        </w:tc>
        <w:tc>
          <w:tcPr>
            <w:tcW w:type="dxa" w:w="5184"/>
            <w:vAlign w:val="top"/>
          </w:tcPr>
          <w:p>
            <w:r>
              <w:t>14</w:t>
            </w:r>
          </w:p>
        </w:tc>
      </w:tr>
      <w:tr>
        <w:tc>
          <w:tcPr>
            <w:tcW w:type="dxa" w:w="5184"/>
            <w:vAlign w:val="top"/>
          </w:tcPr>
          <w:p>
            <w:r>
              <w:t>Physics concepts</w:t>
            </w:r>
          </w:p>
        </w:tc>
        <w:tc>
          <w:tcPr>
            <w:tcW w:type="dxa" w:w="5184"/>
            <w:vAlign w:val="top"/>
          </w:tcPr>
          <w:p>
            <w:r>
              <w:t>~8</w:t>
            </w:r>
          </w:p>
        </w:tc>
      </w:tr>
      <w:tr>
        <w:tc>
          <w:tcPr>
            <w:tcW w:type="dxa" w:w="5184"/>
            <w:vAlign w:val="top"/>
          </w:tcPr>
          <w:p>
            <w:r>
              <w:t>What-If presets</w:t>
            </w:r>
          </w:p>
        </w:tc>
        <w:tc>
          <w:tcPr>
            <w:tcW w:type="dxa" w:w="5184"/>
            <w:vAlign w:val="top"/>
          </w:tcPr>
          <w:p>
            <w:r>
              <w:t>6</w:t>
            </w:r>
          </w:p>
        </w:tc>
      </w:tr>
      <w:tr>
        <w:tc>
          <w:tcPr>
            <w:tcW w:type="dxa" w:w="5184"/>
            <w:vAlign w:val="top"/>
          </w:tcPr>
          <w:p>
            <w:r>
              <w:t>Navigation flows</w:t>
            </w:r>
          </w:p>
        </w:tc>
        <w:tc>
          <w:tcPr>
            <w:tcW w:type="dxa" w:w="5184"/>
            <w:vAlign w:val="top"/>
          </w:tcPr>
          <w:p>
            <w:r>
              <w:t>5</w:t>
            </w:r>
          </w:p>
        </w:tc>
      </w:tr>
      <w:tr>
        <w:tc>
          <w:tcPr>
            <w:tcW w:type="dxa" w:w="5184"/>
            <w:vAlign w:val="top"/>
          </w:tcPr>
          <w:p>
            <w:r>
              <w:t>Glossary</w:t>
            </w:r>
          </w:p>
        </w:tc>
        <w:tc>
          <w:tcPr>
            <w:tcW w:type="dxa" w:w="5184"/>
            <w:vAlign w:val="top"/>
          </w:tcPr>
          <w:p>
            <w:r>
              <w:t>30+</w:t>
            </w:r>
          </w:p>
        </w:tc>
      </w:tr>
      <w:tr>
        <w:tc>
          <w:tcPr>
            <w:tcW w:type="dxa" w:w="5184"/>
            <w:vAlign w:val="top"/>
          </w:tcPr>
          <w:p>
            <w:r>
              <w:t>Total</w:t>
            </w:r>
          </w:p>
        </w:tc>
        <w:tc>
          <w:tcPr>
            <w:tcW w:type="dxa" w:w="5184"/>
            <w:vAlign w:val="top"/>
          </w:tcPr>
          <w:p>
            <w:r>
              <w:t>~100</w:t>
            </w:r>
          </w:p>
        </w:tc>
      </w:tr>
    </w:tbl>
    <w:p>
      <w:pPr>
        <w:spacing w:after="60"/>
      </w:pPr>
      <w:r>
        <w:t>Expected entry size: 100–300 words. Total content: approximately 20,000–30,000 words (~25,000 words target), roughly the size of a short book.</w:t>
      </w:r>
    </w:p>
    <w:p>
      <w:pPr>
        <w:spacing w:after="60"/>
      </w:pPr>
      <w:r>
        <w:t>Most content should be collected and unified from existing platform documentation, Engineering definitions, ML Studio fault descriptions, and the existing context document rather than invented.</w:t>
      </w:r>
    </w:p>
    <w:p>
      <w:pPr>
        <w:spacing w:after="60"/>
      </w:pPr>
      <w:r>
        <w:t>Ownership: a platform-domain expert plus one engineer. Initial authoring and cross-checking estimate: 3–5 focused days. Ongoing maintenance is required whenever pages or components change.</w:t>
      </w:r>
    </w:p>
    <w:p>
      <w:pPr>
        <w:pStyle w:val="Heading1"/>
      </w:pPr>
      <w:r>
        <w:t>10. V1 Success Criteria</w:t>
      </w:r>
    </w:p>
    <w:p>
      <w:pPr>
        <w:pStyle w:val="ListBullet"/>
        <w:spacing w:after="20"/>
      </w:pPr>
      <w:r>
        <w:t>1. “What is the Working Status page?” → explains the page and cites the ui_map entry.</w:t>
      </w:r>
    </w:p>
    <w:p>
      <w:pPr>
        <w:pStyle w:val="ListBullet"/>
        <w:spacing w:after="20"/>
      </w:pPr>
      <w:r>
        <w:t>2. “What does the equalizer show?” → describes the four bars without hallucinating.</w:t>
      </w:r>
    </w:p>
    <w:p>
      <w:pPr>
        <w:pStyle w:val="ListBullet"/>
        <w:spacing w:after="20"/>
      </w:pPr>
      <w:r>
        <w:t>3. “How do I get to Reliability?” → provides documented navigation steps.</w:t>
      </w:r>
    </w:p>
    <w:p>
      <w:pPr>
        <w:pStyle w:val="ListBullet"/>
        <w:spacing w:after="20"/>
      </w:pPr>
      <w:r>
        <w:t>4. “What is TDH?” → gives the definition and where TDH appears in the UI.</w:t>
      </w:r>
    </w:p>
    <w:p>
      <w:pPr>
        <w:pStyle w:val="ListBullet"/>
        <w:spacing w:after="20"/>
      </w:pPr>
      <w:r>
        <w:t>5. Undocumented concept → responds cleanly that it is not documented yet.</w:t>
      </w:r>
    </w:p>
    <w:p>
      <w:pPr>
        <w:pStyle w:val="ListBullet"/>
        <w:spacing w:after="20"/>
      </w:pPr>
      <w:r>
        <w:t>6. Zero fabrication: no invented pages, components, features, or behavior.</w:t>
      </w:r>
    </w:p>
    <w:p>
      <w:pPr>
        <w:pStyle w:val="ListBullet"/>
        <w:spacing w:after="20"/>
      </w:pPr>
      <w:r>
        <w:t>7. Latency &lt;5 seconds per query.</w:t>
      </w:r>
    </w:p>
    <w:p>
      <w:pPr>
        <w:pStyle w:val="ListBullet"/>
        <w:spacing w:after="20"/>
      </w:pPr>
      <w:r>
        <w:t>8. All ~100 ui_map entries load successfully.</w:t>
      </w:r>
    </w:p>
    <w:p>
      <w:pPr>
        <w:pStyle w:val="ListBullet"/>
        <w:spacing w:after="20"/>
      </w:pPr>
      <w:r>
        <w:t>9. Router distinguishes PLATFORM_GUIDE from OP06 ESP knowledge queries.</w:t>
      </w:r>
    </w:p>
    <w:p>
      <w:pPr>
        <w:pStyle w:val="ListBullet"/>
        <w:spacing w:after="20"/>
      </w:pPr>
      <w:r>
        <w:t>10. Dashboard sends selected_route and the agent uses it when relevant.</w:t>
      </w:r>
    </w:p>
    <w:p>
      <w:pPr>
        <w:pStyle w:val="Heading1"/>
      </w:pPr>
      <w:r>
        <w:t>11. Explicit V1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0F6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184"/>
            <w:shd w:fill="EAF0F6"/>
            <w:vAlign w:val="center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5184"/>
            <w:vAlign w:val="top"/>
          </w:tcPr>
          <w:p>
            <w:r>
              <w:t>Explain current error on screen</w:t>
            </w:r>
          </w:p>
        </w:tc>
        <w:tc>
          <w:tcPr>
            <w:tcW w:type="dxa" w:w="5184"/>
            <w:vAlign w:val="top"/>
          </w:tcPr>
          <w:p>
            <w:r>
              <w:t>V2</w:t>
            </w:r>
          </w:p>
        </w:tc>
      </w:tr>
      <w:tr>
        <w:tc>
          <w:tcPr>
            <w:tcW w:type="dxa" w:w="5184"/>
            <w:vAlign w:val="top"/>
          </w:tcPr>
          <w:p>
            <w:r>
              <w:t>Explain current chart data</w:t>
            </w:r>
          </w:p>
        </w:tc>
        <w:tc>
          <w:tcPr>
            <w:tcW w:type="dxa" w:w="5184"/>
            <w:vAlign w:val="top"/>
          </w:tcPr>
          <w:p>
            <w:r>
              <w:t>V2</w:t>
            </w:r>
          </w:p>
        </w:tc>
      </w:tr>
      <w:tr>
        <w:tc>
          <w:tcPr>
            <w:tcW w:type="dxa" w:w="5184"/>
            <w:vAlign w:val="top"/>
          </w:tcPr>
          <w:p>
            <w:r>
              <w:t>Explain a What-If simulation result</w:t>
            </w:r>
          </w:p>
        </w:tc>
        <w:tc>
          <w:tcPr>
            <w:tcW w:type="dxa" w:w="5184"/>
            <w:vAlign w:val="top"/>
          </w:tcPr>
          <w:p>
            <w:r>
              <w:t>V2</w:t>
            </w:r>
          </w:p>
        </w:tc>
      </w:tr>
      <w:tr>
        <w:tc>
          <w:tcPr>
            <w:tcW w:type="dxa" w:w="5184"/>
            <w:vAlign w:val="top"/>
          </w:tcPr>
          <w:p>
            <w:r>
              <w:t>Explain why a custom rule fired</w:t>
            </w:r>
          </w:p>
        </w:tc>
        <w:tc>
          <w:tcPr>
            <w:tcW w:type="dxa" w:w="5184"/>
            <w:vAlign w:val="top"/>
          </w:tcPr>
          <w:p>
            <w:r>
              <w:t>V2</w:t>
            </w:r>
          </w:p>
        </w:tc>
      </w:tr>
      <w:tr>
        <w:tc>
          <w:tcPr>
            <w:tcW w:type="dxa" w:w="5184"/>
            <w:vAlign w:val="top"/>
          </w:tcPr>
          <w:p>
            <w:r>
              <w:t>Explain a specific ML diagnosis</w:t>
            </w:r>
          </w:p>
        </w:tc>
        <w:tc>
          <w:tcPr>
            <w:tcW w:type="dxa" w:w="5184"/>
            <w:vAlign w:val="top"/>
          </w:tcPr>
          <w:p>
            <w:r>
              <w:t>V2</w:t>
            </w:r>
          </w:p>
        </w:tc>
      </w:tr>
      <w:tr>
        <w:tc>
          <w:tcPr>
            <w:tcW w:type="dxa" w:w="5184"/>
            <w:vAlign w:val="top"/>
          </w:tcPr>
          <w:p>
            <w:r>
              <w:t>Compare two configurations</w:t>
            </w:r>
          </w:p>
        </w:tc>
        <w:tc>
          <w:tcPr>
            <w:tcW w:type="dxa" w:w="5184"/>
            <w:vAlign w:val="top"/>
          </w:tcPr>
          <w:p>
            <w:r>
              <w:t>V3</w:t>
            </w:r>
          </w:p>
        </w:tc>
      </w:tr>
      <w:tr>
        <w:tc>
          <w:tcPr>
            <w:tcW w:type="dxa" w:w="5184"/>
            <w:vAlign w:val="top"/>
          </w:tcPr>
          <w:p>
            <w:r>
              <w:t>Learn from confirmed incidents</w:t>
            </w:r>
          </w:p>
        </w:tc>
        <w:tc>
          <w:tcPr>
            <w:tcW w:type="dxa" w:w="5184"/>
            <w:vAlign w:val="top"/>
          </w:tcPr>
          <w:p>
            <w:r>
              <w:t>V4</w:t>
            </w:r>
          </w:p>
        </w:tc>
      </w:tr>
    </w:tbl>
    <w:p>
      <w:pPr>
        <w:spacing w:after="60"/>
      </w:pPr>
      <w:r>
        <w:t>Version model: V1 = static manual; V2 = contextual explanations; V3 = comparative reasoning; V4 = learning from confirmed incidents.</w:t>
      </w:r>
    </w:p>
    <w:p>
      <w:pPr>
        <w:pStyle w:val="Heading1"/>
      </w:pPr>
      <w:r>
        <w:t>12. Post-V1 Learning Loop</w:t>
      </w:r>
    </w:p>
    <w:p>
      <w:pPr>
        <w:pStyle w:val="ListBullet"/>
        <w:spacing w:after="20"/>
      </w:pPr>
      <w:r>
        <w:t>Observe user queries: identify frequently asked questions, refused questions, and most-used ui_map entries.</w:t>
      </w:r>
    </w:p>
    <w:p>
      <w:pPr>
        <w:pStyle w:val="ListBullet"/>
        <w:spacing w:after="20"/>
      </w:pPr>
      <w:r>
        <w:t>Author missing entries based on actual user demand.</w:t>
      </w:r>
    </w:p>
    <w:p>
      <w:pPr>
        <w:pStyle w:val="ListBullet"/>
        <w:spacing w:after="20"/>
      </w:pPr>
      <w:r>
        <w:t>Use observed demand to define the V2 context packet for errors, charts, simulations, and other dynamic UI state.</w:t>
      </w:r>
    </w:p>
    <w:p>
      <w:pPr>
        <w:pStyle w:val="ListBullet"/>
        <w:spacing w:after="20"/>
      </w:pPr>
      <w:r>
        <w:t>Treat V1 as a learning probe before investing in harder dynamic versions.</w:t>
      </w:r>
    </w:p>
    <w:p>
      <w:pPr>
        <w:pStyle w:val="Heading1"/>
      </w:pPr>
      <w:r>
        <w:t>13. Implementation Checklist</w:t>
      </w:r>
    </w:p>
    <w:p>
      <w:pPr>
        <w:pStyle w:val="ListBullet"/>
        <w:spacing w:after="20"/>
      </w:pPr>
      <w:r>
        <w:t>Freeze the ui_map schema and stable ID convention.</w:t>
      </w:r>
    </w:p>
    <w:p>
      <w:pPr>
        <w:pStyle w:val="ListBullet"/>
        <w:spacing w:after="20"/>
      </w:pPr>
      <w:r>
        <w:t>Author and review the initial ~100 entries.</w:t>
      </w:r>
    </w:p>
    <w:p>
      <w:pPr>
        <w:pStyle w:val="ListBullet"/>
        <w:spacing w:after="20"/>
      </w:pPr>
      <w:r>
        <w:t>Create YAML source of truth.</w:t>
      </w:r>
    </w:p>
    <w:p>
      <w:pPr>
        <w:pStyle w:val="ListBullet"/>
        <w:spacing w:after="20"/>
      </w:pPr>
      <w:r>
        <w:t>Implement ui_map ingestion into kb_chunks with source_domain='ui_map'.</w:t>
      </w:r>
    </w:p>
    <w:p>
      <w:pPr>
        <w:pStyle w:val="ListBullet"/>
        <w:spacing w:after="20"/>
      </w:pPr>
      <w:r>
        <w:t>Implement lookup_ui_element(query, route_hint).</w:t>
      </w:r>
    </w:p>
    <w:p>
      <w:pPr>
        <w:pStyle w:val="ListBullet"/>
        <w:spacing w:after="20"/>
      </w:pPr>
      <w:r>
        <w:t>Add OP15_PLATFORM_GUIDE routing.</w:t>
      </w:r>
    </w:p>
    <w:p>
      <w:pPr>
        <w:pStyle w:val="ListBullet"/>
        <w:spacing w:after="20"/>
      </w:pPr>
      <w:r>
        <w:t>Add platform narrator prompt.</w:t>
      </w:r>
    </w:p>
    <w:p>
      <w:pPr>
        <w:pStyle w:val="ListBullet"/>
        <w:spacing w:after="20"/>
      </w:pPr>
      <w:r>
        <w:t>Pass selected_route through Context Resolver.</w:t>
      </w:r>
    </w:p>
    <w:p>
      <w:pPr>
        <w:pStyle w:val="ListBullet"/>
        <w:spacing w:after="20"/>
      </w:pPr>
      <w:r>
        <w:t>Apply the three dashboard changes.</w:t>
      </w:r>
    </w:p>
    <w:p>
      <w:pPr>
        <w:pStyle w:val="ListBullet"/>
        <w:spacing w:after="20"/>
      </w:pPr>
      <w:r>
        <w:t>Validate QoD and evidence sealing against ui_map only.</w:t>
      </w:r>
    </w:p>
    <w:p>
      <w:pPr>
        <w:pStyle w:val="ListBullet"/>
        <w:spacing w:after="20"/>
      </w:pPr>
      <w:r>
        <w:t>Run route/component/concept/navigation acceptance tests.</w:t>
      </w:r>
    </w:p>
    <w:p>
      <w:pPr>
        <w:pStyle w:val="ListBullet"/>
        <w:spacing w:after="20"/>
      </w:pPr>
      <w:r>
        <w:t>Measure end-to-end latency and verify &lt;5s target.</w:t>
      </w:r>
    </w:p>
    <w:p>
      <w:pPr>
        <w:pStyle w:val="ListBullet"/>
        <w:spacing w:after="20"/>
      </w:pPr>
      <w:r>
        <w:t>Verify undocumented questions are refused rather than answered from unrelated KB content.</w:t>
      </w:r>
    </w:p>
    <w:p>
      <w:pPr>
        <w:pStyle w:val="ListBullet"/>
        <w:spacing w:after="20"/>
      </w:pPr>
      <w:r>
        <w:t>Establish ownership and a maintenance/re-index process.</w:t>
      </w:r>
    </w:p>
    <w:p>
      <w:pPr>
        <w:pStyle w:val="Heading1"/>
      </w:pPr>
      <w:r>
        <w:t>14. One-Sentence Summary</w:t>
      </w:r>
    </w:p>
    <w:p>
      <w:pPr>
        <w:spacing w:after="0"/>
      </w:pPr>
      <w:r>
        <w:rPr>
          <w:b/>
        </w:rPr>
        <w:t>V1 is a static user manual delivered as conversation: ~100 grounded ui_map entries covering routes, components, concepts, navigation, telemetry, ML classes, and glossary content; one new objective, one tool, one adapter, one prompt, and one dashboard payload field; no live data, no contextual interpretation, and no hallucinated platform behavior.</w:t>
      </w:r>
    </w:p>
    <w:p>
      <w:pPr>
        <w:pStyle w:val="Heading1"/>
      </w:pPr>
      <w:r>
        <w:t>15. Key Design Principle</w:t>
      </w:r>
    </w:p>
    <w:p>
      <w:pPr>
        <w:spacing w:after="60"/>
      </w:pPr>
      <w:r>
        <w:t>Keep V1 deliberately static. The objective is not to make the copilot understand the current system state; it is to make the copilot reliably explain the product itself. A clean static boundary makes retrieval, evidence, testing, maintenance, and the later transition to contextual V2 substantially easier.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