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8"/>
        </w:rPr>
        <w:t>AI-ConneX</w:t>
      </w:r>
    </w:p>
    <w:p>
      <w:pPr>
        <w:jc w:val="center"/>
      </w:pPr>
      <w:r>
        <w:rPr>
          <w:b/>
          <w:sz w:val="34"/>
        </w:rPr>
        <w:t>MULTI-TENANCY IMPLEMENTATION &amp; STUDIO DEPLOYMENT PLAN</w:t>
      </w:r>
    </w:p>
    <w:p>
      <w:pPr>
        <w:jc w:val="center"/>
      </w:pPr>
      <w:r>
        <w:t>R&amp;D → Architecture → Isolation → Deployment → POC → Compliance Report #5</w:t>
        <w:br/>
        <w:t>Version 1.0 | 14 August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Definition</w:t>
            </w:r>
          </w:p>
        </w:tc>
      </w:tr>
      <w:tr>
        <w:tc>
          <w:tcPr>
            <w:tcW w:type="dxa" w:w="5112"/>
          </w:tcPr>
          <w:p>
            <w:r>
              <w:t>Platform</w:t>
            </w:r>
          </w:p>
        </w:tc>
        <w:tc>
          <w:tcPr>
            <w:tcW w:type="dxa" w:w="5112"/>
          </w:tcPr>
          <w:p>
            <w:r>
              <w:t>AI-ConneX — Industrial Solutions</w:t>
            </w:r>
          </w:p>
        </w:tc>
      </w:tr>
      <w:tr>
        <w:tc>
          <w:tcPr>
            <w:tcW w:type="dxa" w:w="5112"/>
          </w:tcPr>
          <w:p>
            <w:r>
              <w:t>Scope</w:t>
            </w:r>
          </w:p>
        </w:tc>
        <w:tc>
          <w:tcPr>
            <w:tcW w:type="dxa" w:w="5112"/>
          </w:tcPr>
          <w:p>
            <w:r>
              <w:t>Multi-tenancy foundation and deployment of every Studio</w:t>
            </w:r>
          </w:p>
        </w:tc>
      </w:tr>
      <w:tr>
        <w:tc>
          <w:tcPr>
            <w:tcW w:type="dxa" w:w="5112"/>
          </w:tcPr>
          <w:p>
            <w:r>
              <w:t>Studios covered</w:t>
            </w:r>
          </w:p>
        </w:tc>
        <w:tc>
          <w:tcPr>
            <w:tcW w:type="dxa" w:w="5112"/>
          </w:tcPr>
          <w:p>
            <w:r>
              <w:t>Chatbot/Jane, Data Studio, ML Studio, Agentic Studio</w:t>
            </w:r>
          </w:p>
        </w:tc>
      </w:tr>
      <w:tr>
        <w:tc>
          <w:tcPr>
            <w:tcW w:type="dxa" w:w="5112"/>
          </w:tcPr>
          <w:p>
            <w:r>
              <w:t>Pipeline stages</w:t>
            </w:r>
          </w:p>
        </w:tc>
        <w:tc>
          <w:tcPr>
            <w:tcW w:type="dxa" w:w="5112"/>
          </w:tcPr>
          <w:p>
            <w:r>
              <w:t>Compiler → Profiler → DAG → Recipe Orchestrator → Prepare → FE → conditional route → ML/Deployment</w:t>
            </w:r>
          </w:p>
        </w:tc>
      </w:tr>
      <w:tr>
        <w:tc>
          <w:tcPr>
            <w:tcW w:type="dxa" w:w="5112"/>
          </w:tcPr>
          <w:p>
            <w:r>
              <w:t>Agentic components</w:t>
            </w:r>
          </w:p>
        </w:tc>
        <w:tc>
          <w:tcPr>
            <w:tcW w:type="dxa" w:w="5112"/>
          </w:tcPr>
          <w:p>
            <w:r>
              <w:t>Visualizer → Agent Builder → Agent SPEC → Runtime → RAG/KG/KB/Telemetry/Models/Tools → Main Agent/Toolkit</w:t>
            </w:r>
          </w:p>
        </w:tc>
      </w:tr>
      <w:tr>
        <w:tc>
          <w:tcPr>
            <w:tcW w:type="dxa" w:w="5112"/>
          </w:tcPr>
          <w:p>
            <w:r>
              <w:t>Primary requirement</w:t>
            </w:r>
          </w:p>
        </w:tc>
        <w:tc>
          <w:tcPr>
            <w:tcW w:type="dxa" w:w="5112"/>
          </w:tcPr>
          <w:p>
            <w:r>
              <w:t>Secure tenant isolation without breaking cross-stage lineage</w:t>
            </w:r>
          </w:p>
        </w:tc>
      </w:tr>
      <w:tr>
        <w:tc>
          <w:tcPr>
            <w:tcW w:type="dxa" w:w="5112"/>
          </w:tcPr>
          <w:p>
            <w:r>
              <w:t>Compliance report</w:t>
            </w:r>
          </w:p>
        </w:tc>
        <w:tc>
          <w:tcPr>
            <w:tcW w:type="dxa" w:w="5112"/>
          </w:tcPr>
          <w:p>
            <w:r>
              <w:t>Report #5 — deployment and multi-tenancy readiness</w:t>
            </w:r>
          </w:p>
        </w:tc>
      </w:tr>
      <w:tr>
        <w:tc>
          <w:tcPr>
            <w:tcW w:type="dxa" w:w="5112"/>
          </w:tcPr>
          <w:p>
            <w:r>
              <w:t>Status</w:t>
            </w:r>
          </w:p>
        </w:tc>
        <w:tc>
          <w:tcPr>
            <w:tcW w:type="dxa" w:w="5112"/>
          </w:tcPr>
          <w:p>
            <w:r>
              <w:t>Reference architecture / implementation baseline</w:t>
            </w:r>
          </w:p>
        </w:tc>
      </w:tr>
    </w:tbl>
    <w:p>
      <w:pPr>
        <w:pStyle w:val="Heading1"/>
      </w:pPr>
      <w:r>
        <w:t>1. Executive Summary</w:t>
      </w:r>
    </w:p>
    <w:p>
      <w:r>
        <w:t>AI-ConneX is designed as an industrial multi-studio platform. Multi-tenancy must therefore be implemented as a platform-wide security and data-governance property, not as a UI feature added to individual Studios. Every request, dataset, manifest, DAG, recipe, model, agent, telemetry stream, visualization, tool call, audit event and deployment must carry an authenticated tenant context and must be authorized against it.</w:t>
      </w:r>
    </w:p>
    <w:p>
      <w:r>
        <w:t>The recommended baseline is a hybrid isolation model: shared application services with strict tenant-scoped authorization and database Row-Level Security for standard tenants; dedicated databases/namespaces/storage/keys for regulated or high-isolation tenants. This follows the principle that tenant context must be derived from verified identity, not trusted from a client-supplied header, and that isolation should exist at multiple layers. OWASP's current multi-tenant guidance explicitly calls out cross-tenant leakage, IDOR, cache/session isolation, noisy neighbors, onboarding/offboarding and audit gaps as core risks. citeturn0search1</w:t>
      </w:r>
    </w:p>
    <w:p>
      <w:r>
        <w:t>The deployment plan uses zero-trust principles: network location is not the authorization boundary; authenticated user/service identity and resource attributes are. NIST SP 800-207 and SP 800-207A provide the architectural basis for identity-centric authorization in distributed/cloud-native systems. citeturn0search4turn0search2</w:t>
      </w:r>
    </w:p>
    <w:p>
      <w:pPr>
        <w:pStyle w:val="Heading1"/>
      </w:pPr>
      <w:r>
        <w:t>2. Multi-Tenancy Definition for AI-ConneX</w:t>
      </w:r>
    </w:p>
    <w:p>
      <w:r>
        <w:t>A tenant is an independently governed industrial organization or organizational boundary whose users, data, assets, models, agents, policies and audit records must be isolated from other tenants. A tenant may contain multiple sites, plants, business units, environments and asset families.</w:t>
      </w:r>
    </w:p>
    <w:p>
      <w:r>
        <w:rPr>
          <w:rFonts w:ascii="Consolas" w:hAnsi="Consolas"/>
          <w:sz w:val="15"/>
        </w:rPr>
        <w:t>Tenant</w:t>
        <w:br/>
        <w:t>├── Users / Groups / Service Identities</w:t>
        <w:br/>
        <w:t>├── Sites</w:t>
        <w:br/>
        <w:t>│   ├── Plants</w:t>
        <w:br/>
        <w:t>│   └── Asset Families</w:t>
        <w:br/>
        <w:t>├── Data Assets</w:t>
        <w:br/>
        <w:t>├── Manifests / DAGs / Recipes</w:t>
        <w:br/>
        <w:t>├── Features / Models</w:t>
        <w:br/>
        <w:t>├── Agents / Agent SPECs</w:t>
        <w:br/>
        <w:t>├── Knowledge Base / RAG / Graph</w:t>
        <w:br/>
        <w:t>├── Telemetry</w:t>
        <w:br/>
        <w:t>├── Tool permissions</w:t>
        <w:br/>
        <w:t>├── Deployments</w:t>
        <w:br/>
        <w:t>├── Policies</w:t>
        <w:br/>
        <w:t>├── Audit / Billing / Quotas</w:t>
        <w:br/>
        <w:t>└── Retention / Compliance settings</w:t>
      </w:r>
    </w:p>
    <w:p>
      <w:pPr>
        <w:pStyle w:val="Heading1"/>
      </w:pPr>
      <w:r>
        <w:t>3. Isolation Objectives</w:t>
      </w:r>
    </w:p>
    <w:p>
      <w:pPr>
        <w:pStyle w:val="ListBullet"/>
      </w:pPr>
      <w:r>
        <w:t>Confidentiality: Tenant A cannot read Tenant B resources.</w:t>
      </w:r>
    </w:p>
    <w:p>
      <w:pPr>
        <w:pStyle w:val="ListBullet"/>
      </w:pPr>
      <w:r>
        <w:t>Integrity: Tenant A cannot modify Tenant B resources.</w:t>
      </w:r>
    </w:p>
    <w:p>
      <w:pPr>
        <w:pStyle w:val="ListBullet"/>
      </w:pPr>
      <w:r>
        <w:t>Execution isolation: tenant-scoped jobs cannot execute against another tenant.</w:t>
      </w:r>
    </w:p>
    <w:p>
      <w:pPr>
        <w:pStyle w:val="ListBullet"/>
      </w:pPr>
      <w:r>
        <w:t>Knowledge isolation: RAG, graph and retrieval cannot cross tenant boundaries unless explicitly configured for shared public knowledge.</w:t>
      </w:r>
    </w:p>
    <w:p>
      <w:pPr>
        <w:pStyle w:val="ListBullet"/>
      </w:pPr>
      <w:r>
        <w:t>Agent isolation: Main Agents and Toolkit calls inherit tenant scope.</w:t>
      </w:r>
    </w:p>
    <w:p>
      <w:pPr>
        <w:pStyle w:val="ListBullet"/>
      </w:pPr>
      <w:r>
        <w:t>Telemetry isolation: live and historical industrial data remains tenant-scoped.</w:t>
      </w:r>
    </w:p>
    <w:p>
      <w:pPr>
        <w:pStyle w:val="ListBullet"/>
      </w:pPr>
      <w:r>
        <w:t>Cache isolation: keys always include tenant and resource scope.</w:t>
      </w:r>
    </w:p>
    <w:p>
      <w:pPr>
        <w:pStyle w:val="ListBullet"/>
      </w:pPr>
      <w:r>
        <w:t>Storage isolation: object paths/buckets are tenant-scoped.</w:t>
      </w:r>
    </w:p>
    <w:p>
      <w:pPr>
        <w:pStyle w:val="ListBullet"/>
      </w:pPr>
      <w:r>
        <w:t>Observability isolation: operators see only permitted tenant traces/logs.</w:t>
      </w:r>
    </w:p>
    <w:p>
      <w:pPr>
        <w:pStyle w:val="ListBullet"/>
      </w:pPr>
      <w:r>
        <w:t>Administrative isolation: platform administrators require explicit break-glass procedures for cross-tenant operations.</w:t>
      </w:r>
    </w:p>
    <w:p>
      <w:pPr>
        <w:pStyle w:val="ListBullet"/>
      </w:pPr>
      <w:r>
        <w:t>Offboarding: tenant data can be retained, exported and deleted according to policy.</w:t>
      </w:r>
    </w:p>
    <w:p>
      <w:pPr>
        <w:pStyle w:val="Heading1"/>
      </w:pPr>
      <w:r>
        <w:t>4. R&amp;D: Isolation Models Evaluated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Model</w:t>
            </w:r>
          </w:p>
        </w:tc>
        <w:tc>
          <w:tcPr>
            <w:tcW w:type="dxa" w:w="2556"/>
          </w:tcPr>
          <w:p>
            <w:r>
              <w:t>Isolation</w:t>
            </w:r>
          </w:p>
        </w:tc>
        <w:tc>
          <w:tcPr>
            <w:tcW w:type="dxa" w:w="2556"/>
          </w:tcPr>
          <w:p>
            <w:r>
              <w:t>Cost</w:t>
            </w:r>
          </w:p>
        </w:tc>
        <w:tc>
          <w:tcPr>
            <w:tcW w:type="dxa" w:w="2556"/>
          </w:tcPr>
          <w:p>
            <w:r>
              <w:t>Recommended use</w:t>
            </w:r>
          </w:p>
        </w:tc>
      </w:tr>
      <w:tr>
        <w:tc>
          <w:tcPr>
            <w:tcW w:type="dxa" w:w="2556"/>
          </w:tcPr>
          <w:p>
            <w:r>
              <w:t>Shared DB + tenant_id</w:t>
            </w:r>
          </w:p>
        </w:tc>
        <w:tc>
          <w:tcPr>
            <w:tcW w:type="dxa" w:w="2556"/>
          </w:tcPr>
          <w:p>
            <w:r>
              <w:t>Medium</w:t>
            </w:r>
          </w:p>
        </w:tc>
        <w:tc>
          <w:tcPr>
            <w:tcW w:type="dxa" w:w="2556"/>
          </w:tcPr>
          <w:p>
            <w:r>
              <w:t>Low</w:t>
            </w:r>
          </w:p>
        </w:tc>
        <w:tc>
          <w:tcPr>
            <w:tcW w:type="dxa" w:w="2556"/>
          </w:tcPr>
          <w:p>
            <w:r>
              <w:t>Prototype / very high tenant count</w:t>
            </w:r>
          </w:p>
        </w:tc>
      </w:tr>
      <w:tr>
        <w:tc>
          <w:tcPr>
            <w:tcW w:type="dxa" w:w="2556"/>
          </w:tcPr>
          <w:p>
            <w:r>
              <w:t>Shared DB + PostgreSQL RLS</w:t>
            </w:r>
          </w:p>
        </w:tc>
        <w:tc>
          <w:tcPr>
            <w:tcW w:type="dxa" w:w="2556"/>
          </w:tcPr>
          <w:p>
            <w:r>
              <w:t>High when correctly implemented</w:t>
            </w:r>
          </w:p>
        </w:tc>
        <w:tc>
          <w:tcPr>
            <w:tcW w:type="dxa" w:w="2556"/>
          </w:tcPr>
          <w:p>
            <w:r>
              <w:t>Low/Medium</w:t>
            </w:r>
          </w:p>
        </w:tc>
        <w:tc>
          <w:tcPr>
            <w:tcW w:type="dxa" w:w="2556"/>
          </w:tcPr>
          <w:p>
            <w:r>
              <w:t>Default SaaS tier</w:t>
            </w:r>
          </w:p>
        </w:tc>
      </w:tr>
      <w:tr>
        <w:tc>
          <w:tcPr>
            <w:tcW w:type="dxa" w:w="2556"/>
          </w:tcPr>
          <w:p>
            <w:r>
              <w:t>Schema per tenant</w:t>
            </w:r>
          </w:p>
        </w:tc>
        <w:tc>
          <w:tcPr>
            <w:tcW w:type="dxa" w:w="2556"/>
          </w:tcPr>
          <w:p>
            <w:r>
              <w:t>High</w:t>
            </w:r>
          </w:p>
        </w:tc>
        <w:tc>
          <w:tcPr>
            <w:tcW w:type="dxa" w:w="2556"/>
          </w:tcPr>
          <w:p>
            <w:r>
              <w:t>Medium</w:t>
            </w:r>
          </w:p>
        </w:tc>
        <w:tc>
          <w:tcPr>
            <w:tcW w:type="dxa" w:w="2556"/>
          </w:tcPr>
          <w:p>
            <w:r>
              <w:t>Enterprise tier</w:t>
            </w:r>
          </w:p>
        </w:tc>
      </w:tr>
      <w:tr>
        <w:tc>
          <w:tcPr>
            <w:tcW w:type="dxa" w:w="2556"/>
          </w:tcPr>
          <w:p>
            <w:r>
              <w:t>DB per tenant</w:t>
            </w:r>
          </w:p>
        </w:tc>
        <w:tc>
          <w:tcPr>
            <w:tcW w:type="dxa" w:w="2556"/>
          </w:tcPr>
          <w:p>
            <w:r>
              <w:t>Very high</w:t>
            </w:r>
          </w:p>
        </w:tc>
        <w:tc>
          <w:tcPr>
            <w:tcW w:type="dxa" w:w="2556"/>
          </w:tcPr>
          <w:p>
            <w:r>
              <w:t>High</w:t>
            </w:r>
          </w:p>
        </w:tc>
        <w:tc>
          <w:tcPr>
            <w:tcW w:type="dxa" w:w="2556"/>
          </w:tcPr>
          <w:p>
            <w:r>
              <w:t>Regulated/high-value tenants</w:t>
            </w:r>
          </w:p>
        </w:tc>
      </w:tr>
      <w:tr>
        <w:tc>
          <w:tcPr>
            <w:tcW w:type="dxa" w:w="2556"/>
          </w:tcPr>
          <w:p>
            <w:r>
              <w:t>Dedicated namespace + storage + DB</w:t>
            </w:r>
          </w:p>
        </w:tc>
        <w:tc>
          <w:tcPr>
            <w:tcW w:type="dxa" w:w="2556"/>
          </w:tcPr>
          <w:p>
            <w:r>
              <w:t>Very high</w:t>
            </w:r>
          </w:p>
        </w:tc>
        <w:tc>
          <w:tcPr>
            <w:tcW w:type="dxa" w:w="2556"/>
          </w:tcPr>
          <w:p>
            <w:r>
              <w:t>High</w:t>
            </w:r>
          </w:p>
        </w:tc>
        <w:tc>
          <w:tcPr>
            <w:tcW w:type="dxa" w:w="2556"/>
          </w:tcPr>
          <w:p>
            <w:r>
              <w:t>Premium/regulated</w:t>
            </w:r>
          </w:p>
        </w:tc>
      </w:tr>
      <w:tr>
        <w:tc>
          <w:tcPr>
            <w:tcW w:type="dxa" w:w="2556"/>
          </w:tcPr>
          <w:p>
            <w:r>
              <w:t>Hybrid</w:t>
            </w:r>
          </w:p>
        </w:tc>
        <w:tc>
          <w:tcPr>
            <w:tcW w:type="dxa" w:w="2556"/>
          </w:tcPr>
          <w:p>
            <w:r>
              <w:t>Variable</w:t>
            </w:r>
          </w:p>
        </w:tc>
        <w:tc>
          <w:tcPr>
            <w:tcW w:type="dxa" w:w="2556"/>
          </w:tcPr>
          <w:p>
            <w:r>
              <w:t>Variable</w:t>
            </w:r>
          </w:p>
        </w:tc>
        <w:tc>
          <w:tcPr>
            <w:tcW w:type="dxa" w:w="2556"/>
          </w:tcPr>
          <w:p>
            <w:r>
              <w:t>AI-ConneX recommended</w:t>
            </w:r>
          </w:p>
        </w:tc>
      </w:tr>
    </w:tbl>
    <w:p>
      <w:r>
        <w:t>PostgreSQL RLS should be treated as defense in depth rather than the only control. OWASP recommends database-level isolation plus application/data-access authorization, tenant-scoped composite lookups, cache/storage isolation and per-tenant quotas. citeturn0search1</w:t>
      </w:r>
    </w:p>
    <w:p>
      <w:pPr>
        <w:pStyle w:val="Heading1"/>
      </w:pPr>
      <w:r>
        <w:t>5. Recommended AI-ConneX Tenancy Tiers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Tier</w:t>
            </w:r>
          </w:p>
        </w:tc>
        <w:tc>
          <w:tcPr>
            <w:tcW w:type="dxa" w:w="3408"/>
          </w:tcPr>
          <w:p>
            <w:r>
              <w:t>Isolation design</w:t>
            </w:r>
          </w:p>
        </w:tc>
        <w:tc>
          <w:tcPr>
            <w:tcW w:type="dxa" w:w="3408"/>
          </w:tcPr>
          <w:p>
            <w:r>
              <w:t>Example</w:t>
            </w:r>
          </w:p>
        </w:tc>
      </w:tr>
      <w:tr>
        <w:tc>
          <w:tcPr>
            <w:tcW w:type="dxa" w:w="3408"/>
          </w:tcPr>
          <w:p>
            <w:r>
              <w:t>T1 Shared</w:t>
            </w:r>
          </w:p>
        </w:tc>
        <w:tc>
          <w:tcPr>
            <w:tcW w:type="dxa" w:w="3408"/>
          </w:tcPr>
          <w:p>
            <w:r>
              <w:t>Shared services + RLS + scoped storage</w:t>
            </w:r>
          </w:p>
        </w:tc>
        <w:tc>
          <w:tcPr>
            <w:tcW w:type="dxa" w:w="3408"/>
          </w:tcPr>
          <w:p>
            <w:r>
              <w:t>SME / pilot</w:t>
            </w:r>
          </w:p>
        </w:tc>
      </w:tr>
      <w:tr>
        <w:tc>
          <w:tcPr>
            <w:tcW w:type="dxa" w:w="3408"/>
          </w:tcPr>
          <w:p>
            <w:r>
              <w:t>T2 Enterprise</w:t>
            </w:r>
          </w:p>
        </w:tc>
        <w:tc>
          <w:tcPr>
            <w:tcW w:type="dxa" w:w="3408"/>
          </w:tcPr>
          <w:p>
            <w:r>
              <w:t>RLS + dedicated schema/storage + dedicated keys</w:t>
            </w:r>
          </w:p>
        </w:tc>
        <w:tc>
          <w:tcPr>
            <w:tcW w:type="dxa" w:w="3408"/>
          </w:tcPr>
          <w:p>
            <w:r>
              <w:t>Industrial group</w:t>
            </w:r>
          </w:p>
        </w:tc>
      </w:tr>
      <w:tr>
        <w:tc>
          <w:tcPr>
            <w:tcW w:type="dxa" w:w="3408"/>
          </w:tcPr>
          <w:p>
            <w:r>
              <w:t>T3 Regulated</w:t>
            </w:r>
          </w:p>
        </w:tc>
        <w:tc>
          <w:tcPr>
            <w:tcW w:type="dxa" w:w="3408"/>
          </w:tcPr>
          <w:p>
            <w:r>
              <w:t>Dedicated DB/namespace + keys + isolated workloads</w:t>
            </w:r>
          </w:p>
        </w:tc>
        <w:tc>
          <w:tcPr>
            <w:tcW w:type="dxa" w:w="3408"/>
          </w:tcPr>
          <w:p>
            <w:r>
              <w:t>High-compliance site</w:t>
            </w:r>
          </w:p>
        </w:tc>
      </w:tr>
      <w:tr>
        <w:tc>
          <w:tcPr>
            <w:tcW w:type="dxa" w:w="3408"/>
          </w:tcPr>
          <w:p>
            <w:r>
              <w:t>T4 Sovereign/Private</w:t>
            </w:r>
          </w:p>
        </w:tc>
        <w:tc>
          <w:tcPr>
            <w:tcW w:type="dxa" w:w="3408"/>
          </w:tcPr>
          <w:p>
            <w:r>
              <w:t>Dedicated cluster or on-prem deployment</w:t>
            </w:r>
          </w:p>
        </w:tc>
        <w:tc>
          <w:tcPr>
            <w:tcW w:type="dxa" w:w="3408"/>
          </w:tcPr>
          <w:p>
            <w:r>
              <w:t>Critical infrastructure / private cloud</w:t>
            </w:r>
          </w:p>
        </w:tc>
      </w:tr>
    </w:tbl>
    <w:p>
      <w:r>
        <w:t>The tier is a deployment policy. It should not change the application authorization contract: every service still receives and validates tenant context.</w:t>
      </w:r>
    </w:p>
    <w:p>
      <w:pPr>
        <w:pStyle w:val="Heading1"/>
      </w:pPr>
      <w:r>
        <w:t>6. Tenant Context</w:t>
      </w:r>
    </w:p>
    <w:p>
      <w:r>
        <w:rPr>
          <w:rFonts w:ascii="Consolas" w:hAnsi="Consolas"/>
          <w:sz w:val="15"/>
        </w:rPr>
        <w:t>{</w:t>
        <w:br/>
        <w:t xml:space="preserve">  "tenant_uid": "TEN-7f8...",</w:t>
        <w:br/>
        <w:t xml:space="preserve">  "org_uid": "ORG-...",</w:t>
        <w:br/>
        <w:t xml:space="preserve">  "user_uid": "USR-...",</w:t>
        <w:br/>
        <w:t xml:space="preserve">  "roles": ["TENANT_ADMIN"],</w:t>
        <w:br/>
        <w:t xml:space="preserve">  "site_scope": ["SITE-01"],</w:t>
        <w:br/>
        <w:t xml:space="preserve">  "asset_scope": ["COMP-*"],</w:t>
        <w:br/>
        <w:t xml:space="preserve">  "environment": "prod",</w:t>
        <w:br/>
        <w:t xml:space="preserve">  "policy_version": "POL-12"</w:t>
        <w:br/>
        <w:t>}</w:t>
      </w:r>
    </w:p>
    <w:p>
      <w:r>
        <w:t>Tenant context is generated from a verified identity/token and server-side membership lookup. A client may request a site or tenant, but the server determines whether the authenticated principal has that scope. OWASP specifically recommends deriving tenant context from authenticated sessions and not trusting client-supplied tenant IDs. citeturn0search1</w:t>
      </w:r>
    </w:p>
    <w:p>
      <w:pPr>
        <w:pStyle w:val="Heading1"/>
      </w:pPr>
      <w:r>
        <w:t>7. Authorization Model</w:t>
      </w:r>
    </w:p>
    <w:p>
      <w:r>
        <w:t>AI-ConneX should combine RBAC with ABAC/ReBAC-style attributes. Role answers 'what class of operation?', while attributes answer 'on which tenant/site/asset/environment?'. OWASP notes that ABAC can better represent multi-organizational access patterns than role-only designs. citeturn0search0</w:t>
      </w:r>
    </w:p>
    <w:p>
      <w:r>
        <w:rPr>
          <w:rFonts w:ascii="Consolas" w:hAnsi="Consolas"/>
          <w:sz w:val="15"/>
        </w:rPr>
        <w:t>ALLOW if:</w:t>
        <w:br/>
        <w:t>identity.valid</w:t>
        <w:br/>
        <w:t>AND identity.active</w:t>
        <w:br/>
        <w:t>AND tenant_membership(identity, tenant)</w:t>
        <w:br/>
        <w:t>AND resource.tenant_uid == tenant.uid</w:t>
        <w:br/>
        <w:t>AND site in identity.site_scope</w:t>
        <w:br/>
        <w:t>AND asset in identity.asset_scope</w:t>
        <w:br/>
        <w:t>AND action in role.permissions</w:t>
        <w:br/>
        <w:t>AND policy.allows(action, resource, context)</w:t>
      </w:r>
    </w:p>
    <w:p>
      <w:pPr>
        <w:pStyle w:val="Heading1"/>
      </w:pPr>
      <w:r>
        <w:t>8. Defense-in-Depth Isolation</w:t>
      </w:r>
    </w:p>
    <w:p>
      <w:r>
        <w:rPr>
          <w:rFonts w:ascii="Consolas" w:hAnsi="Consolas"/>
          <w:sz w:val="15"/>
        </w:rPr>
        <w:t>CLIENT</w:t>
        <w:br/>
        <w:t xml:space="preserve">  |</w:t>
        <w:br/>
        <w:t>API Gateway / WAF</w:t>
        <w:br/>
        <w:t xml:space="preserve">  |  authenticate</w:t>
        <w:br/>
        <w:t xml:space="preserve">  v</w:t>
        <w:br/>
        <w:t>Tenant Context Middleware</w:t>
        <w:br/>
        <w:t xml:space="preserve">  |</w:t>
        <w:br/>
        <w:t>Authorization / Policy</w:t>
        <w:br/>
        <w:t xml:space="preserve">  |</w:t>
        <w:br/>
        <w:t>Service-to-Service Identity</w:t>
        <w:br/>
        <w:t xml:space="preserve">  |</w:t>
        <w:br/>
        <w:t>Repository / Query Scope</w:t>
        <w:br/>
        <w:t xml:space="preserve">  |</w:t>
        <w:br/>
        <w:t>Database RLS</w:t>
        <w:br/>
        <w:t xml:space="preserve">  |</w:t>
        <w:br/>
        <w:t>Storage / Cache / Queue Scope</w:t>
        <w:br/>
        <w:t xml:space="preserve">  |</w:t>
        <w:br/>
        <w:t>Audit + Monitoring</w:t>
        <w:br/>
      </w:r>
    </w:p>
    <w:p>
      <w:r>
        <w:t>The decisive authorization check is server-side. UI filtering is only a usability feature. OWASP's authorization guidance explicitly recommends server-side enforcement, deny-by-default and authorization tests. citeturn0search0</w:t>
      </w:r>
    </w:p>
    <w:p>
      <w:pPr>
        <w:pStyle w:val="Heading1"/>
      </w:pPr>
      <w:r>
        <w:t>9. Database Design</w:t>
      </w:r>
    </w:p>
    <w:p>
      <w:r>
        <w:rPr>
          <w:rFonts w:ascii="Consolas" w:hAnsi="Consolas"/>
          <w:sz w:val="15"/>
        </w:rPr>
        <w:t>CREATE TABLE datasets (</w:t>
        <w:br/>
        <w:t xml:space="preserve">  dataset_uid UUID PRIMARY KEY,</w:t>
        <w:br/>
        <w:t xml:space="preserve">  tenant_uid UUID NOT NULL,</w:t>
        <w:br/>
        <w:t xml:space="preserve">  site_uid UUID,</w:t>
        <w:br/>
        <w:t xml:space="preserve">  name TEXT NOT NULL,</w:t>
        <w:br/>
        <w:t xml:space="preserve">  created_at TIMESTAMPTZ NOT NULL</w:t>
        <w:br/>
        <w:t>);</w:t>
        <w:br/>
        <w:br/>
        <w:t>ALTER TABLE datasets ENABLE ROW LEVEL SECURITY;</w:t>
        <w:br/>
        <w:br/>
        <w:t>CREATE POLICY tenant_dataset_policy</w:t>
        <w:br/>
        <w:t>ON datasets</w:t>
        <w:br/>
        <w:t>USING (tenant_uid = current_setting('app.current_tenant')::uuid)</w:t>
        <w:br/>
        <w:t>WITH CHECK (tenant_uid = current_setting('app.current_tenant')::uuid);</w:t>
        <w:br/>
        <w:br/>
        <w:t>CREATE INDEX idx_dataset_tenant</w:t>
        <w:br/>
        <w:t>ON datasets(tenant_uid, dataset_uid);</w:t>
      </w:r>
    </w:p>
    <w:p>
      <w:r>
        <w:t>Every tenant-scoped table should have tenant_uid. For high-value objects, use composite uniqueness such as (tenant_uid, object_uid) or UUIDs with server-side ownership checks.</w:t>
      </w:r>
    </w:p>
    <w:p>
      <w:pPr>
        <w:pStyle w:val="Heading1"/>
      </w:pPr>
      <w:r>
        <w:t>10. Object Storage Isolation</w:t>
      </w:r>
    </w:p>
    <w:p>
      <w:r>
        <w:rPr>
          <w:rFonts w:ascii="Consolas" w:hAnsi="Consolas"/>
          <w:sz w:val="15"/>
        </w:rPr>
        <w:t>s3://aconnext/{tenant_uid}/{site_uid}/{studio}/{resource_type}/{resource_uid}/...</w:t>
        <w:br/>
        <w:br/>
        <w:t>Examples:</w:t>
        <w:br/>
        <w:t>TEN-01/SITE-01/data/compiler/DATASET-001/</w:t>
        <w:br/>
        <w:t>TEN-01/SITE-01/data/profiler/MANIFEST-001/</w:t>
        <w:br/>
        <w:t>TEN-01/SITE-01/ml/model/MODEL-007/</w:t>
        <w:br/>
        <w:t>TEN-01/SITE-01/agent/evidence/EXEC-009/</w:t>
      </w:r>
    </w:p>
    <w:p>
      <w:pPr>
        <w:pStyle w:val="ListBullet"/>
      </w:pPr>
      <w:r>
        <w:t>Bucket/container policy denies cross-tenant prefixes.</w:t>
      </w:r>
    </w:p>
    <w:p>
      <w:pPr>
        <w:pStyle w:val="ListBullet"/>
      </w:pPr>
      <w:r>
        <w:t>Signed URLs are short-lived and scope-limited.</w:t>
      </w:r>
    </w:p>
    <w:p>
      <w:pPr>
        <w:pStyle w:val="ListBullet"/>
      </w:pPr>
      <w:r>
        <w:t>Object metadata stores tenant_uid.</w:t>
      </w:r>
    </w:p>
    <w:p>
      <w:pPr>
        <w:pStyle w:val="ListBullet"/>
      </w:pPr>
      <w:r>
        <w:t>Deletion jobs verify tenant ownership.</w:t>
      </w:r>
    </w:p>
    <w:p>
      <w:pPr>
        <w:pStyle w:val="ListBullet"/>
      </w:pPr>
      <w:r>
        <w:t>Encryption keys can be tenant-specific for higher tiers.</w:t>
      </w:r>
    </w:p>
    <w:p>
      <w:pPr>
        <w:pStyle w:val="Heading1"/>
      </w:pPr>
      <w:r>
        <w:t>11. Cache / Queue / Vector / Graph Isolation</w:t>
      </w:r>
    </w:p>
    <w:p>
      <w:r>
        <w:rPr>
          <w:rFonts w:ascii="Consolas" w:hAnsi="Consolas"/>
          <w:sz w:val="15"/>
        </w:rPr>
        <w:t>CACHE KEY</w:t>
        <w:br/>
        <w:t>tenant:{tenant_uid}:site:{site_uid}:resource:{resource_uid}</w:t>
        <w:br/>
        <w:br/>
        <w:t>QUEUE</w:t>
        <w:br/>
        <w:t>topic:tenant.{tenant_uid}.events</w:t>
        <w:br/>
        <w:br/>
        <w:t>VECTOR FILTER</w:t>
        <w:br/>
        <w:t>tenant_uid == authenticated_tenant</w:t>
        <w:br/>
        <w:br/>
        <w:t>GRAPH</w:t>
        <w:br/>
        <w:t>MATCH (n {tenant_uid: $tenant_uid})...</w:t>
        <w:br/>
        <w:br/>
        <w:t>TELEMETRY</w:t>
        <w:br/>
        <w:t>WHERE tenant_uid = $tenant_uid</w:t>
        <w:br/>
      </w:r>
    </w:p>
    <w:p>
      <w:r>
        <w:t>Shared caches, vector stores and graphs are frequent sources of accidental cross-tenant exposure. Tenant scope must be applied before retrieval/query execution, not after results are returned.</w:t>
      </w:r>
    </w:p>
    <w:p>
      <w:pPr>
        <w:pStyle w:val="Heading1"/>
      </w:pPr>
      <w:r>
        <w:t>12. Multi-Tenant Identity</w:t>
      </w:r>
    </w:p>
    <w:tbl>
      <w:tblPr>
        <w:tblStyle w:val="TableGrid"/>
        <w:tblW w:type="auto" w:w="0"/>
        <w:jc w:val="center"/>
        <w:tblLook w:firstColumn="1" w:firstRow="1" w:lastColumn="0" w:lastRow="0" w:noHBand="0" w:noVBand="1" w:val="04A0"/>
      </w:tblPr>
      <w:tblGrid>
        <w:gridCol w:w="5112"/>
        <w:gridCol w:w="5112"/>
      </w:tblGrid>
      <w:tr>
        <w:tc>
          <w:tcPr>
            <w:tcW w:type="dxa" w:w="5112"/>
          </w:tcPr>
          <w:p>
            <w:r>
              <w:t>Identity</w:t>
            </w:r>
          </w:p>
        </w:tc>
        <w:tc>
          <w:tcPr>
            <w:tcW w:type="dxa" w:w="5112"/>
          </w:tcPr>
          <w:p>
            <w:r>
              <w:t>Scope</w:t>
            </w:r>
          </w:p>
        </w:tc>
      </w:tr>
      <w:tr>
        <w:tc>
          <w:tcPr>
            <w:tcW w:type="dxa" w:w="5112"/>
          </w:tcPr>
          <w:p>
            <w:r>
              <w:t>Platform operator</w:t>
            </w:r>
          </w:p>
        </w:tc>
        <w:tc>
          <w:tcPr>
            <w:tcW w:type="dxa" w:w="5112"/>
          </w:tcPr>
          <w:p>
            <w:r>
              <w:t>Explicitly granted platform functions; no automatic tenant-data access</w:t>
            </w:r>
          </w:p>
        </w:tc>
      </w:tr>
      <w:tr>
        <w:tc>
          <w:tcPr>
            <w:tcW w:type="dxa" w:w="5112"/>
          </w:tcPr>
          <w:p>
            <w:r>
              <w:t>Tenant admin</w:t>
            </w:r>
          </w:p>
        </w:tc>
        <w:tc>
          <w:tcPr>
            <w:tcW w:type="dxa" w:w="5112"/>
          </w:tcPr>
          <w:p>
            <w:r>
              <w:t>One tenant</w:t>
            </w:r>
          </w:p>
        </w:tc>
      </w:tr>
      <w:tr>
        <w:tc>
          <w:tcPr>
            <w:tcW w:type="dxa" w:w="5112"/>
          </w:tcPr>
          <w:p>
            <w:r>
              <w:t>Site admin</w:t>
            </w:r>
          </w:p>
        </w:tc>
        <w:tc>
          <w:tcPr>
            <w:tcW w:type="dxa" w:w="5112"/>
          </w:tcPr>
          <w:p>
            <w:r>
              <w:t>Tenant + selected sites</w:t>
            </w:r>
          </w:p>
        </w:tc>
      </w:tr>
      <w:tr>
        <w:tc>
          <w:tcPr>
            <w:tcW w:type="dxa" w:w="5112"/>
          </w:tcPr>
          <w:p>
            <w:r>
              <w:t>Engineer</w:t>
            </w:r>
          </w:p>
        </w:tc>
        <w:tc>
          <w:tcPr>
            <w:tcW w:type="dxa" w:w="5112"/>
          </w:tcPr>
          <w:p>
            <w:r>
              <w:t>Tenant + assigned assets/sites</w:t>
            </w:r>
          </w:p>
        </w:tc>
      </w:tr>
      <w:tr>
        <w:tc>
          <w:tcPr>
            <w:tcW w:type="dxa" w:w="5112"/>
          </w:tcPr>
          <w:p>
            <w:r>
              <w:t>Operator</w:t>
            </w:r>
          </w:p>
        </w:tc>
        <w:tc>
          <w:tcPr>
            <w:tcW w:type="dxa" w:w="5112"/>
          </w:tcPr>
          <w:p>
            <w:r>
              <w:t>Tenant + operational assets</w:t>
            </w:r>
          </w:p>
        </w:tc>
      </w:tr>
      <w:tr>
        <w:tc>
          <w:tcPr>
            <w:tcW w:type="dxa" w:w="5112"/>
          </w:tcPr>
          <w:p>
            <w:r>
              <w:t>Agent service identity</w:t>
            </w:r>
          </w:p>
        </w:tc>
        <w:tc>
          <w:tcPr>
            <w:tcW w:type="dxa" w:w="5112"/>
          </w:tcPr>
          <w:p>
            <w:r>
              <w:t>Tenant + SPEC-defined site/asset scope</w:t>
            </w:r>
          </w:p>
        </w:tc>
      </w:tr>
      <w:tr>
        <w:tc>
          <w:tcPr>
            <w:tcW w:type="dxa" w:w="5112"/>
          </w:tcPr>
          <w:p>
            <w:r>
              <w:t>Tool service identity</w:t>
            </w:r>
          </w:p>
        </w:tc>
        <w:tc>
          <w:tcPr>
            <w:tcW w:type="dxa" w:w="5112"/>
          </w:tcPr>
          <w:p>
            <w:r>
              <w:t>Tenant + capability scope</w:t>
            </w:r>
          </w:p>
        </w:tc>
      </w:tr>
      <w:tr>
        <w:tc>
          <w:tcPr>
            <w:tcW w:type="dxa" w:w="5112"/>
          </w:tcPr>
          <w:p>
            <w:r>
              <w:t>Pipeline worker</w:t>
            </w:r>
          </w:p>
        </w:tc>
        <w:tc>
          <w:tcPr>
            <w:tcW w:type="dxa" w:w="5112"/>
          </w:tcPr>
          <w:p>
            <w:r>
              <w:t>Tenant + job/resource scope</w:t>
            </w:r>
          </w:p>
        </w:tc>
      </w:tr>
    </w:tbl>
    <w:p>
      <w:r>
        <w:t>Service identities must carry tenant context just like humans. 'Internal service' is not an authorization exemption.</w:t>
      </w:r>
    </w:p>
    <w:p>
      <w:pPr>
        <w:pStyle w:val="Heading1"/>
      </w:pPr>
      <w:r>
        <w:t>13. Tenant Provisioning Flow</w:t>
      </w:r>
    </w:p>
    <w:p>
      <w:r>
        <w:rPr>
          <w:rFonts w:ascii="Consolas" w:hAnsi="Consolas"/>
          <w:sz w:val="15"/>
        </w:rPr>
        <w:t>CREATE TENANT</w:t>
        <w:br/>
        <w:t xml:space="preserve"> -&gt; validate organization</w:t>
        <w:br/>
        <w:t xml:space="preserve"> -&gt; allocate tenant UID</w:t>
        <w:br/>
        <w:t xml:space="preserve"> -&gt; create policy</w:t>
        <w:br/>
        <w:t xml:space="preserve"> -&gt; provision storage</w:t>
        <w:br/>
        <w:t xml:space="preserve"> -&gt; provision DB schema/RLS context</w:t>
        <w:br/>
        <w:t xml:space="preserve"> -&gt; create encryption key reference</w:t>
        <w:br/>
        <w:t xml:space="preserve"> -&gt; create default roles</w:t>
        <w:br/>
        <w:t xml:space="preserve"> -&gt; create quotas</w:t>
        <w:br/>
        <w:t xml:space="preserve"> -&gt; create audit stream</w:t>
        <w:br/>
        <w:t xml:space="preserve"> -&gt; create isolated namespace if tier requires</w:t>
        <w:br/>
        <w:t xml:space="preserve"> -&gt; create initial admin</w:t>
        <w:br/>
        <w:t xml:space="preserve"> -&gt; run isolation tests</w:t>
        <w:br/>
        <w:t xml:space="preserve"> -&gt; ACTIVATE</w:t>
      </w:r>
    </w:p>
    <w:p>
      <w:pPr>
        <w:pStyle w:val="Heading1"/>
      </w:pPr>
      <w:r>
        <w:t>14. Tenant Offboarding</w:t>
      </w:r>
    </w:p>
    <w:p>
      <w:pPr>
        <w:pStyle w:val="ListNumber"/>
      </w:pPr>
      <w:r>
        <w:t>Freeze new workloads.</w:t>
      </w:r>
    </w:p>
    <w:p>
      <w:pPr>
        <w:pStyle w:val="ListNumber"/>
      </w:pPr>
      <w:r>
        <w:t>Revoke user/service credentials.</w:t>
      </w:r>
    </w:p>
    <w:p>
      <w:pPr>
        <w:pStyle w:val="ListNumber"/>
      </w:pPr>
      <w:r>
        <w:t>Stop scheduled agents and pipelines.</w:t>
      </w:r>
    </w:p>
    <w:p>
      <w:pPr>
        <w:pStyle w:val="ListNumber"/>
      </w:pPr>
      <w:r>
        <w:t>Export data if contract/policy requires.</w:t>
      </w:r>
    </w:p>
    <w:p>
      <w:pPr>
        <w:pStyle w:val="ListNumber"/>
      </w:pPr>
      <w:r>
        <w:t>Retain required audit/legal records.</w:t>
      </w:r>
    </w:p>
    <w:p>
      <w:pPr>
        <w:pStyle w:val="ListNumber"/>
      </w:pPr>
      <w:r>
        <w:t>Delete or cryptographically erase tenant data according to retention policy.</w:t>
      </w:r>
    </w:p>
    <w:p>
      <w:pPr>
        <w:pStyle w:val="ListNumber"/>
      </w:pPr>
      <w:r>
        <w:t>Remove vector/graph/cache entries.</w:t>
      </w:r>
    </w:p>
    <w:p>
      <w:pPr>
        <w:pStyle w:val="ListNumber"/>
      </w:pPr>
      <w:r>
        <w:t>Remove object storage.</w:t>
      </w:r>
    </w:p>
    <w:p>
      <w:pPr>
        <w:pStyle w:val="ListNumber"/>
      </w:pPr>
      <w:r>
        <w:t>Delete dedicated namespace/database if applicable.</w:t>
      </w:r>
    </w:p>
    <w:p>
      <w:pPr>
        <w:pStyle w:val="ListNumber"/>
      </w:pPr>
      <w:r>
        <w:t>Run cross-tenant deletion verification.</w:t>
      </w:r>
    </w:p>
    <w:p>
      <w:pPr>
        <w:pStyle w:val="ListNumber"/>
      </w:pPr>
      <w:r>
        <w:t>Produce signed offboarding report.</w:t>
      </w:r>
    </w:p>
    <w:p>
      <w:pPr>
        <w:pStyle w:val="Heading1"/>
      </w:pPr>
      <w:r>
        <w:t>15. Tenant-Aware AI-ConneX Pipeline</w:t>
      </w:r>
    </w:p>
    <w:p>
      <w:r>
        <w:rPr>
          <w:rFonts w:ascii="Consolas" w:hAnsi="Consolas"/>
          <w:sz w:val="15"/>
        </w:rPr>
        <w:t>JANE</w:t>
        <w:br/>
        <w:t xml:space="preserve">  -&gt; Intent {tenant_uid, user_uid, site_scope}</w:t>
        <w:br/>
        <w:t xml:space="preserve">  -&gt; COMPILER</w:t>
        <w:br/>
        <w:t xml:space="preserve">  -&gt; PROFILER</w:t>
        <w:br/>
        <w:t xml:space="preserve">  -&gt; DAG ASSIGNER</w:t>
        <w:br/>
        <w:t xml:space="preserve">  -&gt; RECIPE ORCHESTRATOR</w:t>
        <w:br/>
        <w:t xml:space="preserve">  -&gt; PREPARE</w:t>
        <w:br/>
        <w:t xml:space="preserve">  -&gt; FEATURE ENGINEER</w:t>
        <w:br/>
        <w:t xml:space="preserve">  -&gt; IF/ELSE</w:t>
        <w:br/>
        <w:t xml:space="preserve">      |-&gt; DATA STUDIO DEPLOYMENT</w:t>
        <w:br/>
        <w:t xml:space="preserve">      |-&gt; ML STUDIO</w:t>
        <w:br/>
        <w:t xml:space="preserve">             -&gt; STEM</w:t>
        <w:br/>
        <w:t xml:space="preserve">             -&gt; MODEL</w:t>
        <w:br/>
        <w:t xml:space="preserve">             -&gt; AGENTIC STUDIO</w:t>
        <w:br/>
        <w:t xml:space="preserve">  -&gt; VISUALIZER / AGENT / TOOLKIT</w:t>
        <w:br/>
        <w:t xml:space="preserve">  -&gt; AUDIT</w:t>
      </w:r>
    </w:p>
    <w:p>
      <w:r>
        <w:t>At every transition, the output contract carries tenant_uid and scope. The downstream stage rejects missing, invalid or mismatched tenancy.</w:t>
      </w:r>
    </w:p>
    <w:p>
      <w:pPr>
        <w:pStyle w:val="Heading1"/>
      </w:pPr>
      <w:r>
        <w:t>16. Chatbot / Jane Input to Multi-Tenant System</w:t>
      </w:r>
    </w:p>
    <w:p>
      <w:r>
        <w:rPr>
          <w:rFonts w:ascii="Consolas" w:hAnsi="Consolas"/>
          <w:sz w:val="15"/>
        </w:rPr>
        <w:t>{</w:t>
        <w:br/>
        <w:t xml:space="preserve">  "intent_uid": "INT-001",</w:t>
        <w:br/>
        <w:t xml:space="preserve">  "tenant_uid": "TEN-001",</w:t>
        <w:br/>
        <w:t xml:space="preserve">  "user_uid": "USR-001",</w:t>
        <w:br/>
        <w:t xml:space="preserve">  "site_scope": ["SITE-01"],</w:t>
        <w:br/>
        <w:t xml:space="preserve">  "goal": "build compressor health service",</w:t>
        <w:br/>
        <w:t xml:space="preserve">  "data_refs": ["UPLOAD-001"],</w:t>
        <w:br/>
        <w:t xml:space="preserve">  "autonomy": "RECOMMEND"</w:t>
        <w:br/>
        <w:t>}</w:t>
      </w:r>
    </w:p>
    <w:p>
      <w:r>
        <w:t>This is the tenancy-aware version of the chatbot output. Tenant identity is not generated by the LLM. It is attached by the authenticated application/session layer.</w:t>
      </w:r>
    </w:p>
    <w:p>
      <w:pPr>
        <w:pStyle w:val="Heading1"/>
      </w:pPr>
      <w:r>
        <w:t>17. Output to Next Stage</w:t>
      </w:r>
    </w:p>
    <w:p>
      <w:r>
        <w:rPr>
          <w:rFonts w:ascii="Consolas" w:hAnsi="Consolas"/>
          <w:sz w:val="15"/>
        </w:rPr>
        <w:t>{</w:t>
        <w:br/>
        <w:t xml:space="preserve">  "tenant_uid": "TEN-001",</w:t>
        <w:br/>
        <w:t xml:space="preserve">  "execution_uid": "EXEC-...",</w:t>
        <w:br/>
        <w:t xml:space="preserve">  "resource_uid": "MANIFEST-...",</w:t>
        <w:br/>
        <w:t xml:space="preserve">  "stage": "COMPILER",</w:t>
        <w:br/>
        <w:t xml:space="preserve">  "status": "SUCCESS",</w:t>
        <w:br/>
        <w:t xml:space="preserve">  "artifact_refs": [...],</w:t>
        <w:br/>
        <w:t xml:space="preserve">  "scope": {</w:t>
        <w:br/>
        <w:t xml:space="preserve">    "site_uids": ["SITE-01"],</w:t>
        <w:br/>
        <w:t xml:space="preserve">    "asset_uids": ["ASSET-*"]</w:t>
        <w:br/>
        <w:t xml:space="preserve">  },</w:t>
        <w:br/>
        <w:t xml:space="preserve">  "lineage": {</w:t>
        <w:br/>
        <w:t xml:space="preserve">    "parent_execution_uid": "INT-001"</w:t>
        <w:br/>
        <w:t xml:space="preserve">  }</w:t>
        <w:br/>
        <w:t>}</w:t>
      </w:r>
    </w:p>
    <w:p>
      <w:r>
        <w:t>Every Studio consumes this envelope and must preserve tenant scope in its own artifacts.</w:t>
      </w:r>
    </w:p>
    <w:p>
      <w:pPr>
        <w:pStyle w:val="Heading1"/>
      </w:pPr>
      <w:r>
        <w:t>18. Studio Deployment Strategy — Overview</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Studio</w:t>
            </w:r>
          </w:p>
        </w:tc>
        <w:tc>
          <w:tcPr>
            <w:tcW w:type="dxa" w:w="3408"/>
          </w:tcPr>
          <w:p>
            <w:r>
              <w:t>Primary deployment</w:t>
            </w:r>
          </w:p>
        </w:tc>
        <w:tc>
          <w:tcPr>
            <w:tcW w:type="dxa" w:w="3408"/>
          </w:tcPr>
          <w:p>
            <w:r>
              <w:t>Isolation focus</w:t>
            </w:r>
          </w:p>
        </w:tc>
      </w:tr>
      <w:tr>
        <w:tc>
          <w:tcPr>
            <w:tcW w:type="dxa" w:w="3408"/>
          </w:tcPr>
          <w:p>
            <w:r>
              <w:t>Chatbot/Jane</w:t>
            </w:r>
          </w:p>
        </w:tc>
        <w:tc>
          <w:tcPr>
            <w:tcW w:type="dxa" w:w="3408"/>
          </w:tcPr>
          <w:p>
            <w:r>
              <w:t>Stateless API + session/context service</w:t>
            </w:r>
          </w:p>
        </w:tc>
        <w:tc>
          <w:tcPr>
            <w:tcW w:type="dxa" w:w="3408"/>
          </w:tcPr>
          <w:p>
            <w:r>
              <w:t>Identity + tenant context</w:t>
            </w:r>
          </w:p>
        </w:tc>
      </w:tr>
      <w:tr>
        <w:tc>
          <w:tcPr>
            <w:tcW w:type="dxa" w:w="3408"/>
          </w:tcPr>
          <w:p>
            <w:r>
              <w:t>Data Studio</w:t>
            </w:r>
          </w:p>
        </w:tc>
        <w:tc>
          <w:tcPr>
            <w:tcW w:type="dxa" w:w="3408"/>
          </w:tcPr>
          <w:p>
            <w:r>
              <w:t>Worker/API pools + object/data services</w:t>
            </w:r>
          </w:p>
        </w:tc>
        <w:tc>
          <w:tcPr>
            <w:tcW w:type="dxa" w:w="3408"/>
          </w:tcPr>
          <w:p>
            <w:r>
              <w:t>Datasets/manifests/jobs</w:t>
            </w:r>
          </w:p>
        </w:tc>
      </w:tr>
      <w:tr>
        <w:tc>
          <w:tcPr>
            <w:tcW w:type="dxa" w:w="3408"/>
          </w:tcPr>
          <w:p>
            <w:r>
              <w:t>ML Studio</w:t>
            </w:r>
          </w:p>
        </w:tc>
        <w:tc>
          <w:tcPr>
            <w:tcW w:type="dxa" w:w="3408"/>
          </w:tcPr>
          <w:p>
            <w:r>
              <w:t>Model pipeline workers + registry + inference</w:t>
            </w:r>
          </w:p>
        </w:tc>
        <w:tc>
          <w:tcPr>
            <w:tcW w:type="dxa" w:w="3408"/>
          </w:tcPr>
          <w:p>
            <w:r>
              <w:t>Models/features/runs</w:t>
            </w:r>
          </w:p>
        </w:tc>
      </w:tr>
      <w:tr>
        <w:tc>
          <w:tcPr>
            <w:tcW w:type="dxa" w:w="3408"/>
          </w:tcPr>
          <w:p>
            <w:r>
              <w:t>Agentic Studio</w:t>
            </w:r>
          </w:p>
        </w:tc>
        <w:tc>
          <w:tcPr>
            <w:tcW w:type="dxa" w:w="3408"/>
          </w:tcPr>
          <w:p>
            <w:r>
              <w:t>Runtime + registry + toolkit gateway</w:t>
            </w:r>
          </w:p>
        </w:tc>
        <w:tc>
          <w:tcPr>
            <w:tcW w:type="dxa" w:w="3408"/>
          </w:tcPr>
          <w:p>
            <w:r>
              <w:t>Agents/SPEC/tools/knowledge</w:t>
            </w:r>
          </w:p>
        </w:tc>
      </w:tr>
    </w:tbl>
    <w:p>
      <w:r>
        <w:t>Use separate deployable workloads but a shared identity, policy, audit and tenancy contract. This lets each Studio scale independently while retaining one security model.</w:t>
      </w:r>
    </w:p>
    <w:p>
      <w:pPr>
        <w:pStyle w:val="Heading1"/>
      </w:pPr>
      <w:r>
        <w:t>19. Studio 1 — Chatbot / Jane Deployment</w:t>
      </w:r>
    </w:p>
    <w:p>
      <w:pPr>
        <w:pStyle w:val="Heading2"/>
      </w:pPr>
      <w:r>
        <w:t>19.1 Responsibilities</w:t>
      </w:r>
    </w:p>
    <w:p>
      <w:pPr>
        <w:pStyle w:val="ListBullet"/>
      </w:pPr>
      <w:r>
        <w:t>Conversational intent capture</w:t>
      </w:r>
    </w:p>
    <w:p>
      <w:pPr>
        <w:pStyle w:val="ListBullet"/>
      </w:pPr>
      <w:r>
        <w:t>Plan negotiation</w:t>
      </w:r>
    </w:p>
    <w:p>
      <w:pPr>
        <w:pStyle w:val="ListBullet"/>
      </w:pPr>
      <w:r>
        <w:t>Tenant-aware session</w:t>
      </w:r>
    </w:p>
    <w:p>
      <w:pPr>
        <w:pStyle w:val="ListBullet"/>
      </w:pPr>
      <w:r>
        <w:t>Human approval interaction</w:t>
      </w:r>
    </w:p>
    <w:p>
      <w:pPr>
        <w:pStyle w:val="ListBullet"/>
      </w:pPr>
      <w:r>
        <w:t>Handoff to Agent Builder/Data Studio/ML Studio</w:t>
      </w:r>
    </w:p>
    <w:p>
      <w:pPr>
        <w:pStyle w:val="Heading2"/>
      </w:pPr>
      <w:r>
        <w:t>19.2 Architecture</w:t>
      </w:r>
    </w:p>
    <w:p>
      <w:r>
        <w:rPr>
          <w:rFonts w:ascii="Consolas" w:hAnsi="Consolas"/>
          <w:sz w:val="15"/>
        </w:rPr>
        <w:t>Ingress</w:t>
        <w:br/>
        <w:t xml:space="preserve">  -&gt; API Gateway</w:t>
        <w:br/>
        <w:t xml:space="preserve">  -&gt; Jane API</w:t>
        <w:br/>
        <w:t xml:space="preserve">  -&gt; Identity / Tenant Context</w:t>
        <w:br/>
        <w:t xml:space="preserve">  -&gt; Conversation Store</w:t>
        <w:br/>
        <w:t xml:space="preserve">  -&gt; Intent Service</w:t>
        <w:br/>
        <w:t xml:space="preserve">  -&gt; Studio Router</w:t>
        <w:br/>
        <w:t xml:space="preserve">  -&gt; Data/ML/Agentic Studio</w:t>
      </w:r>
    </w:p>
    <w:p>
      <w:pPr>
        <w:pStyle w:val="Heading2"/>
      </w:pPr>
      <w:r>
        <w:t>19.3 Requirements</w:t>
      </w:r>
    </w:p>
    <w:p>
      <w:pPr>
        <w:pStyle w:val="ListBullet"/>
      </w:pPr>
      <w:r>
        <w:t>OIDC/OAuth identity</w:t>
      </w:r>
    </w:p>
    <w:p>
      <w:pPr>
        <w:pStyle w:val="ListBullet"/>
      </w:pPr>
      <w:r>
        <w:t>PostgreSQL</w:t>
      </w:r>
    </w:p>
    <w:p>
      <w:pPr>
        <w:pStyle w:val="ListBullet"/>
      </w:pPr>
      <w:r>
        <w:t>Redis/session store</w:t>
      </w:r>
    </w:p>
    <w:p>
      <w:pPr>
        <w:pStyle w:val="ListBullet"/>
      </w:pPr>
      <w:r>
        <w:t>LLM endpoint</w:t>
      </w:r>
    </w:p>
    <w:p>
      <w:pPr>
        <w:pStyle w:val="ListBullet"/>
      </w:pPr>
      <w:r>
        <w:t>Rate limiting</w:t>
      </w:r>
    </w:p>
    <w:p>
      <w:pPr>
        <w:pStyle w:val="ListBullet"/>
      </w:pPr>
      <w:r>
        <w:t>Audit logging</w:t>
      </w:r>
    </w:p>
    <w:p>
      <w:pPr>
        <w:pStyle w:val="ListBullet"/>
      </w:pPr>
      <w:r>
        <w:t>PII/content policy</w:t>
      </w:r>
    </w:p>
    <w:p>
      <w:pPr>
        <w:pStyle w:val="Heading2"/>
      </w:pPr>
      <w:r>
        <w:t>19.4 APIs</w:t>
      </w:r>
    </w:p>
    <w:p>
      <w:r>
        <w:rPr>
          <w:rFonts w:ascii="Consolas" w:hAnsi="Consolas"/>
          <w:sz w:val="15"/>
        </w:rPr>
        <w:t>POST /v1/chat/sessions</w:t>
        <w:br/>
        <w:t>POST /v1/chat/messages</w:t>
        <w:br/>
        <w:t>GET  /v1/chat/sessions/{id}</w:t>
        <w:br/>
        <w:t>POST /v1/intents/commit</w:t>
        <w:br/>
        <w:t>GET  /v1/tenant/context</w:t>
      </w:r>
    </w:p>
    <w:p>
      <w:pPr>
        <w:pStyle w:val="Heading1"/>
      </w:pPr>
      <w:r>
        <w:t>20. Studio 2 — Data Studio Deployment</w:t>
      </w:r>
    </w:p>
    <w:p>
      <w:r>
        <w:t>Data Studio contains Compiler, Profiler, DAG Assigner, Recipe Orchestrator, Prepare, Feature Engineer and the deployment conditional.</w:t>
      </w:r>
    </w:p>
    <w:p>
      <w:r>
        <w:rPr>
          <w:rFonts w:ascii="Consolas" w:hAnsi="Consolas"/>
          <w:sz w:val="15"/>
        </w:rPr>
        <w:t>Gateway</w:t>
        <w:br/>
        <w:t xml:space="preserve"> -&gt; Data API</w:t>
        <w:br/>
        <w:t xml:space="preserve"> -&gt; Compiler workers</w:t>
        <w:br/>
        <w:t xml:space="preserve"> -&gt; Profiler workers</w:t>
        <w:br/>
        <w:t xml:space="preserve"> -&gt; DAG service</w:t>
        <w:br/>
        <w:t xml:space="preserve"> -&gt; Recipe service</w:t>
        <w:br/>
        <w:t xml:space="preserve"> -&gt; Prepare/FE workers</w:t>
        <w:br/>
        <w:t xml:space="preserve"> -&gt; Artifact/Object Storage</w:t>
        <w:br/>
        <w:t xml:space="preserve"> -&gt; Manifest Registry</w:t>
        <w:br/>
        <w:t xml:space="preserve"> -&gt; Data Studio Deployment Node</w:t>
      </w:r>
    </w:p>
    <w:p>
      <w:pPr>
        <w:pStyle w:val="ListBullet"/>
      </w:pPr>
      <w:r>
        <w:t>Use queue-backed workers for large datasets.</w:t>
      </w:r>
    </w:p>
    <w:p>
      <w:pPr>
        <w:pStyle w:val="ListBullet"/>
      </w:pPr>
      <w:r>
        <w:t>Use tenant-scoped object storage paths.</w:t>
      </w:r>
    </w:p>
    <w:p>
      <w:pPr>
        <w:pStyle w:val="ListBullet"/>
      </w:pPr>
      <w:r>
        <w:t>Attach tenant_uid to every manifest, family ID and DAG ID.</w:t>
      </w:r>
    </w:p>
    <w:p>
      <w:pPr>
        <w:pStyle w:val="ListBullet"/>
      </w:pPr>
      <w:r>
        <w:t>Use resource quotas per tenant to prevent noisy-neighbor failures.</w:t>
      </w:r>
    </w:p>
    <w:p>
      <w:pPr>
        <w:pStyle w:val="ListBullet"/>
      </w:pPr>
      <w:r>
        <w:t>Use ephemeral workers for untrusted uploaded files.</w:t>
      </w:r>
    </w:p>
    <w:p>
      <w:pPr>
        <w:pStyle w:val="ListBullet"/>
      </w:pPr>
      <w:r>
        <w:t>Scan archives before extraction.</w:t>
      </w:r>
    </w:p>
    <w:p>
      <w:pPr>
        <w:pStyle w:val="ListBullet"/>
      </w:pPr>
      <w:r>
        <w:t>Keep lineage from chatbot intent to manifest UID.</w:t>
      </w:r>
    </w:p>
    <w:p>
      <w:pPr>
        <w:pStyle w:val="Heading2"/>
      </w:pPr>
      <w:r>
        <w:t>20.1 APIs</w:t>
      </w:r>
    </w:p>
    <w:p>
      <w:r>
        <w:rPr>
          <w:rFonts w:ascii="Consolas" w:hAnsi="Consolas"/>
          <w:sz w:val="15"/>
        </w:rPr>
        <w:t>POST /v1/data/compile</w:t>
        <w:br/>
        <w:t>POST /v1/data/profile</w:t>
        <w:br/>
        <w:t>POST /v1/data/dags/assign</w:t>
        <w:br/>
        <w:t>POST /v1/data/recipes/resolve</w:t>
        <w:br/>
        <w:t>POST /v1/data/prepare</w:t>
        <w:br/>
        <w:t>POST /v1/data/features/engineer</w:t>
        <w:br/>
        <w:t>POST /v1/data/routes/evaluate</w:t>
        <w:br/>
        <w:t>GET  /v1/manifests/{manifest_uid}</w:t>
      </w:r>
    </w:p>
    <w:p>
      <w:pPr>
        <w:pStyle w:val="Heading1"/>
      </w:pPr>
      <w:r>
        <w:t>21. Studio 3 — ML Studio Deployment</w:t>
      </w:r>
    </w:p>
    <w:p>
      <w:r>
        <w:t>ML Studio consumes Data Studio artifacts or a new cleaned/prepared dataset, then runs the STEM loop: Split → Train → Evaluate Metrics → Judge/Score.</w:t>
      </w:r>
    </w:p>
    <w:p>
      <w:r>
        <w:rPr>
          <w:rFonts w:ascii="Consolas" w:hAnsi="Consolas"/>
          <w:sz w:val="15"/>
        </w:rPr>
        <w:t>Gateway</w:t>
        <w:br/>
        <w:t xml:space="preserve"> -&gt; ML API</w:t>
        <w:br/>
        <w:t xml:space="preserve"> -&gt; Dataset/Manifest Resolver</w:t>
        <w:br/>
        <w:t xml:space="preserve"> -&gt; STEM Orchestrator</w:t>
        <w:br/>
        <w:t xml:space="preserve"> -&gt; Parallel Model Workers</w:t>
        <w:br/>
        <w:t xml:space="preserve"> -&gt; Evaluation Service</w:t>
        <w:br/>
        <w:t xml:space="preserve"> -&gt; Judge/Scorer</w:t>
        <w:br/>
        <w:t xml:space="preserve"> -&gt; Model Registry</w:t>
        <w:br/>
        <w:t xml:space="preserve"> -&gt; Inference Endpoint</w:t>
        <w:br/>
        <w:t xml:space="preserve"> -&gt; Agentic Studio (if requested)</w:t>
      </w:r>
    </w:p>
    <w:p>
      <w:pPr>
        <w:pStyle w:val="ListBullet"/>
      </w:pPr>
      <w:r>
        <w:t>Model runs inherit tenant and dataset scope.</w:t>
      </w:r>
    </w:p>
    <w:p>
      <w:pPr>
        <w:pStyle w:val="ListBullet"/>
      </w:pPr>
      <w:r>
        <w:t>Feature artifacts are tenant-scoped.</w:t>
      </w:r>
    </w:p>
    <w:p>
      <w:pPr>
        <w:pStyle w:val="ListBullet"/>
      </w:pPr>
      <w:r>
        <w:t>Model registry records tenant ownership.</w:t>
      </w:r>
    </w:p>
    <w:p>
      <w:pPr>
        <w:pStyle w:val="ListBullet"/>
      </w:pPr>
      <w:r>
        <w:t>Model endpoints enforce tenant authorization.</w:t>
      </w:r>
    </w:p>
    <w:p>
      <w:pPr>
        <w:pStyle w:val="ListBullet"/>
      </w:pPr>
      <w:r>
        <w:t>GPU/CPU quotas prevent noisy-neighbor exhaustion.</w:t>
      </w:r>
    </w:p>
    <w:p>
      <w:pPr>
        <w:pStyle w:val="ListBullet"/>
      </w:pPr>
      <w:r>
        <w:t>Training data and artifacts are encrypted and versioned.</w:t>
      </w:r>
    </w:p>
    <w:p>
      <w:pPr>
        <w:pStyle w:val="Heading2"/>
      </w:pPr>
      <w:r>
        <w:t>21.1 APIs</w:t>
      </w:r>
    </w:p>
    <w:p>
      <w:r>
        <w:rPr>
          <w:rFonts w:ascii="Consolas" w:hAnsi="Consolas"/>
          <w:sz w:val="15"/>
        </w:rPr>
        <w:t>POST /v1/ml/stem/run</w:t>
        <w:br/>
        <w:t>POST /v1/ml/split</w:t>
        <w:br/>
        <w:t>POST /v1/ml/train</w:t>
        <w:br/>
        <w:t>POST /v1/ml/evaluate</w:t>
        <w:br/>
        <w:t>POST /v1/ml/judge</w:t>
        <w:br/>
        <w:t>POST /v1/ml/models/register</w:t>
        <w:br/>
        <w:t>POST /v1/ml/models/{id}/deploy</w:t>
        <w:br/>
        <w:t>GET  /v1/ml/runs/{run_uid}</w:t>
      </w:r>
    </w:p>
    <w:p>
      <w:pPr>
        <w:pStyle w:val="Heading1"/>
      </w:pPr>
      <w:r>
        <w:t>22. Studio 4 — Agentic Studio Deployment</w:t>
      </w:r>
    </w:p>
    <w:p>
      <w:r>
        <w:t>Agentic Studio is the highest-risk Studio because it can coordinate tools and persistent operational workflows. Its tenant boundary must exist at Agent SPEC, Runtime, knowledge retrieval, toolkit gateway and audit layers.</w:t>
      </w:r>
    </w:p>
    <w:p>
      <w:r>
        <w:rPr>
          <w:rFonts w:ascii="Consolas" w:hAnsi="Consolas"/>
          <w:sz w:val="15"/>
        </w:rPr>
        <w:t>Gateway</w:t>
        <w:br/>
        <w:t xml:space="preserve"> -&gt; Agent Builder</w:t>
        <w:br/>
        <w:t xml:space="preserve"> -&gt; Agent SPEC Registry</w:t>
        <w:br/>
        <w:t xml:space="preserve"> -&gt; Agent Runtime</w:t>
        <w:br/>
        <w:t xml:space="preserve"> -&gt; Knowledge Foundation</w:t>
        <w:br/>
        <w:t xml:space="preserve">    -&gt; RAG</w:t>
        <w:br/>
        <w:t xml:space="preserve">    -&gt; Knowledge Graph</w:t>
        <w:br/>
        <w:t xml:space="preserve">    -&gt; Knowledge Base</w:t>
        <w:br/>
        <w:t xml:space="preserve">    -&gt; Telemetry</w:t>
        <w:br/>
        <w:t xml:space="preserve">    -&gt; Models</w:t>
        <w:br/>
        <w:t xml:space="preserve"> -&gt; Policy Engine</w:t>
        <w:br/>
        <w:t xml:space="preserve"> -&gt; Toolkit Registry</w:t>
        <w:br/>
        <w:t xml:space="preserve"> -&gt; Tool Gateway</w:t>
        <w:br/>
        <w:t xml:space="preserve"> -&gt; Industrial/Business Connectors</w:t>
        <w:br/>
        <w:t xml:space="preserve"> -&gt; Audit / Visualizer</w:t>
      </w:r>
    </w:p>
    <w:p>
      <w:pPr>
        <w:pStyle w:val="ListBullet"/>
      </w:pPr>
      <w:r>
        <w:t>Agent UID is tenant-scoped.</w:t>
      </w:r>
    </w:p>
    <w:p>
      <w:pPr>
        <w:pStyle w:val="ListBullet"/>
      </w:pPr>
      <w:r>
        <w:t>SPEC cannot reference a tool outside tenant policy.</w:t>
      </w:r>
    </w:p>
    <w:p>
      <w:pPr>
        <w:pStyle w:val="ListBullet"/>
      </w:pPr>
      <w:r>
        <w:t>RAG filters before retrieval.</w:t>
      </w:r>
    </w:p>
    <w:p>
      <w:pPr>
        <w:pStyle w:val="ListBullet"/>
      </w:pPr>
      <w:r>
        <w:t>Graph queries include tenant scope.</w:t>
      </w:r>
    </w:p>
    <w:p>
      <w:pPr>
        <w:pStyle w:val="ListBullet"/>
      </w:pPr>
      <w:r>
        <w:t>Telemetry queries include tenant/site scope.</w:t>
      </w:r>
    </w:p>
    <w:p>
      <w:pPr>
        <w:pStyle w:val="ListBullet"/>
      </w:pPr>
      <w:r>
        <w:t>Toolkit calls inherit execution scope.</w:t>
      </w:r>
    </w:p>
    <w:p>
      <w:pPr>
        <w:pStyle w:val="ListBullet"/>
      </w:pPr>
      <w:r>
        <w:t>Approval requests are tenant-bound.</w:t>
      </w:r>
    </w:p>
    <w:p>
      <w:pPr>
        <w:pStyle w:val="ListBullet"/>
      </w:pPr>
      <w:r>
        <w:t>Audit records include tenant UID.</w:t>
      </w:r>
    </w:p>
    <w:p>
      <w:pPr>
        <w:pStyle w:val="Heading2"/>
      </w:pPr>
      <w:r>
        <w:t>22.1 APIs</w:t>
      </w:r>
    </w:p>
    <w:p>
      <w:r>
        <w:rPr>
          <w:rFonts w:ascii="Consolas" w:hAnsi="Consolas"/>
          <w:sz w:val="15"/>
        </w:rPr>
        <w:t>POST /v1/agents</w:t>
        <w:br/>
        <w:t>POST /v1/agents/{agent_uid}/execute</w:t>
        <w:br/>
        <w:t>POST /v1/agents/{agent_uid}/pause</w:t>
        <w:br/>
        <w:t>POST /v1/agents/{agent_uid}/resume</w:t>
        <w:br/>
        <w:t>GET  /v1/agents/{agent_uid}/state</w:t>
        <w:br/>
        <w:t>GET  /v1/toolkit/capabilities</w:t>
        <w:br/>
        <w:t>POST /v1/toolkit/{capability}/validate</w:t>
        <w:br/>
        <w:t>POST /v1/toolkit/{capability}/execute</w:t>
        <w:br/>
        <w:t>POST /v1/approvals</w:t>
        <w:br/>
        <w:t>GET  /v1/audit/{execution_uid}</w:t>
      </w:r>
    </w:p>
    <w:p>
      <w:pPr>
        <w:pStyle w:val="Heading1"/>
      </w:pPr>
      <w:r>
        <w:t>23. Shared Platform Services</w:t>
      </w:r>
    </w:p>
    <w:tbl>
      <w:tblPr>
        <w:tblStyle w:val="TableGrid"/>
        <w:tblW w:type="auto" w:w="0"/>
        <w:jc w:val="center"/>
        <w:tblLook w:firstColumn="1" w:firstRow="1" w:lastColumn="0" w:lastRow="0" w:noHBand="0" w:noVBand="1" w:val="04A0"/>
      </w:tblPr>
      <w:tblGrid>
        <w:gridCol w:w="5112"/>
        <w:gridCol w:w="5112"/>
      </w:tblGrid>
      <w:tr>
        <w:tc>
          <w:tcPr>
            <w:tcW w:type="dxa" w:w="5112"/>
          </w:tcPr>
          <w:p>
            <w:r>
              <w:t>Service</w:t>
            </w:r>
          </w:p>
        </w:tc>
        <w:tc>
          <w:tcPr>
            <w:tcW w:type="dxa" w:w="5112"/>
          </w:tcPr>
          <w:p>
            <w:r>
              <w:t>Purpose</w:t>
            </w:r>
          </w:p>
        </w:tc>
      </w:tr>
      <w:tr>
        <w:tc>
          <w:tcPr>
            <w:tcW w:type="dxa" w:w="5112"/>
          </w:tcPr>
          <w:p>
            <w:r>
              <w:t>Identity Provider</w:t>
            </w:r>
          </w:p>
        </w:tc>
        <w:tc>
          <w:tcPr>
            <w:tcW w:type="dxa" w:w="5112"/>
          </w:tcPr>
          <w:p>
            <w:r>
              <w:t>Authentication/federation</w:t>
            </w:r>
          </w:p>
        </w:tc>
      </w:tr>
      <w:tr>
        <w:tc>
          <w:tcPr>
            <w:tcW w:type="dxa" w:w="5112"/>
          </w:tcPr>
          <w:p>
            <w:r>
              <w:t>Tenant Service</w:t>
            </w:r>
          </w:p>
        </w:tc>
        <w:tc>
          <w:tcPr>
            <w:tcW w:type="dxa" w:w="5112"/>
          </w:tcPr>
          <w:p>
            <w:r>
              <w:t>Tenant lifecycle/context</w:t>
            </w:r>
          </w:p>
        </w:tc>
      </w:tr>
      <w:tr>
        <w:tc>
          <w:tcPr>
            <w:tcW w:type="dxa" w:w="5112"/>
          </w:tcPr>
          <w:p>
            <w:r>
              <w:t>Policy Engine</w:t>
            </w:r>
          </w:p>
        </w:tc>
        <w:tc>
          <w:tcPr>
            <w:tcW w:type="dxa" w:w="5112"/>
          </w:tcPr>
          <w:p>
            <w:r>
              <w:t>Authorization</w:t>
            </w:r>
          </w:p>
        </w:tc>
      </w:tr>
      <w:tr>
        <w:tc>
          <w:tcPr>
            <w:tcW w:type="dxa" w:w="5112"/>
          </w:tcPr>
          <w:p>
            <w:r>
              <w:t>API Gateway</w:t>
            </w:r>
          </w:p>
        </w:tc>
        <w:tc>
          <w:tcPr>
            <w:tcW w:type="dxa" w:w="5112"/>
          </w:tcPr>
          <w:p>
            <w:r>
              <w:t>Ingress/rate limiting</w:t>
            </w:r>
          </w:p>
        </w:tc>
      </w:tr>
      <w:tr>
        <w:tc>
          <w:tcPr>
            <w:tcW w:type="dxa" w:w="5112"/>
          </w:tcPr>
          <w:p>
            <w:r>
              <w:t>Service Identity</w:t>
            </w:r>
          </w:p>
        </w:tc>
        <w:tc>
          <w:tcPr>
            <w:tcW w:type="dxa" w:w="5112"/>
          </w:tcPr>
          <w:p>
            <w:r>
              <w:t>mTLS/workload identity</w:t>
            </w:r>
          </w:p>
        </w:tc>
      </w:tr>
      <w:tr>
        <w:tc>
          <w:tcPr>
            <w:tcW w:type="dxa" w:w="5112"/>
          </w:tcPr>
          <w:p>
            <w:r>
              <w:t>Audit Service</w:t>
            </w:r>
          </w:p>
        </w:tc>
        <w:tc>
          <w:tcPr>
            <w:tcW w:type="dxa" w:w="5112"/>
          </w:tcPr>
          <w:p>
            <w:r>
              <w:t>Immutable security/lineage records</w:t>
            </w:r>
          </w:p>
        </w:tc>
      </w:tr>
      <w:tr>
        <w:tc>
          <w:tcPr>
            <w:tcW w:type="dxa" w:w="5112"/>
          </w:tcPr>
          <w:p>
            <w:r>
              <w:t>Quota Service</w:t>
            </w:r>
          </w:p>
        </w:tc>
        <w:tc>
          <w:tcPr>
            <w:tcW w:type="dxa" w:w="5112"/>
          </w:tcPr>
          <w:p>
            <w:r>
              <w:t>Tenant resource limits</w:t>
            </w:r>
          </w:p>
        </w:tc>
      </w:tr>
      <w:tr>
        <w:tc>
          <w:tcPr>
            <w:tcW w:type="dxa" w:w="5112"/>
          </w:tcPr>
          <w:p>
            <w:r>
              <w:t>Artifact Registry</w:t>
            </w:r>
          </w:p>
        </w:tc>
        <w:tc>
          <w:tcPr>
            <w:tcW w:type="dxa" w:w="5112"/>
          </w:tcPr>
          <w:p>
            <w:r>
              <w:t>Manifests/models/recipes</w:t>
            </w:r>
          </w:p>
        </w:tc>
      </w:tr>
      <w:tr>
        <w:tc>
          <w:tcPr>
            <w:tcW w:type="dxa" w:w="5112"/>
          </w:tcPr>
          <w:p>
            <w:r>
              <w:t>Object Storage</w:t>
            </w:r>
          </w:p>
        </w:tc>
        <w:tc>
          <w:tcPr>
            <w:tcW w:type="dxa" w:w="5112"/>
          </w:tcPr>
          <w:p>
            <w:r>
              <w:t>Datasets/artifacts</w:t>
            </w:r>
          </w:p>
        </w:tc>
      </w:tr>
      <w:tr>
        <w:tc>
          <w:tcPr>
            <w:tcW w:type="dxa" w:w="5112"/>
          </w:tcPr>
          <w:p>
            <w:r>
              <w:t>Observability</w:t>
            </w:r>
          </w:p>
        </w:tc>
        <w:tc>
          <w:tcPr>
            <w:tcW w:type="dxa" w:w="5112"/>
          </w:tcPr>
          <w:p>
            <w:r>
              <w:t>Traces/metrics/logs</w:t>
            </w:r>
          </w:p>
        </w:tc>
      </w:tr>
      <w:tr>
        <w:tc>
          <w:tcPr>
            <w:tcW w:type="dxa" w:w="5112"/>
          </w:tcPr>
          <w:p>
            <w:r>
              <w:t>Secrets/KMS</w:t>
            </w:r>
          </w:p>
        </w:tc>
        <w:tc>
          <w:tcPr>
            <w:tcW w:type="dxa" w:w="5112"/>
          </w:tcPr>
          <w:p>
            <w:r>
              <w:t>Credentials/encryption</w:t>
            </w:r>
          </w:p>
        </w:tc>
      </w:tr>
    </w:tbl>
    <w:p>
      <w:r>
        <w:t>NIST SP 800-207A specifically describes cloud-native zero-trust enforcement through application/service identities, API gateways, sidecar proxies and identity infrastructure. citeturn0search2</w:t>
      </w:r>
    </w:p>
    <w:p>
      <w:pPr>
        <w:pStyle w:val="Heading1"/>
      </w:pPr>
      <w:r>
        <w:t>24. Recommended Tech Stack / Versions</w:t>
      </w:r>
    </w:p>
    <w:tbl>
      <w:tblPr>
        <w:tblStyle w:val="TableGrid"/>
        <w:tblW w:type="auto" w:w="0"/>
        <w:jc w:val="center"/>
        <w:tblLook w:firstColumn="1" w:firstRow="1" w:lastColumn="0" w:lastRow="0" w:noHBand="0" w:noVBand="1" w:val="04A0"/>
      </w:tblPr>
      <w:tblGrid>
        <w:gridCol w:w="5112"/>
        <w:gridCol w:w="5112"/>
      </w:tblGrid>
      <w:tr>
        <w:tc>
          <w:tcPr>
            <w:tcW w:type="dxa" w:w="5112"/>
          </w:tcPr>
          <w:p>
            <w:r>
              <w:t>Layer</w:t>
            </w:r>
          </w:p>
        </w:tc>
        <w:tc>
          <w:tcPr>
            <w:tcW w:type="dxa" w:w="5112"/>
          </w:tcPr>
          <w:p>
            <w:r>
              <w:t>Reference baseline</w:t>
            </w:r>
          </w:p>
        </w:tc>
      </w:tr>
      <w:tr>
        <w:tc>
          <w:tcPr>
            <w:tcW w:type="dxa" w:w="5112"/>
          </w:tcPr>
          <w:p>
            <w:r>
              <w:t>Python</w:t>
            </w:r>
          </w:p>
        </w:tc>
        <w:tc>
          <w:tcPr>
            <w:tcW w:type="dxa" w:w="5112"/>
          </w:tcPr>
          <w:p>
            <w:r>
              <w:t>3.12.x</w:t>
            </w:r>
          </w:p>
        </w:tc>
      </w:tr>
      <w:tr>
        <w:tc>
          <w:tcPr>
            <w:tcW w:type="dxa" w:w="5112"/>
          </w:tcPr>
          <w:p>
            <w:r>
              <w:t>FastAPI</w:t>
            </w:r>
          </w:p>
        </w:tc>
        <w:tc>
          <w:tcPr>
            <w:tcW w:type="dxa" w:w="5112"/>
          </w:tcPr>
          <w:p>
            <w:r>
              <w:t>0.1xx current pinned minor</w:t>
            </w:r>
          </w:p>
        </w:tc>
      </w:tr>
      <w:tr>
        <w:tc>
          <w:tcPr>
            <w:tcW w:type="dxa" w:w="5112"/>
          </w:tcPr>
          <w:p>
            <w:r>
              <w:t>Pydantic</w:t>
            </w:r>
          </w:p>
        </w:tc>
        <w:tc>
          <w:tcPr>
            <w:tcW w:type="dxa" w:w="5112"/>
          </w:tcPr>
          <w:p>
            <w:r>
              <w:t>2.x</w:t>
            </w:r>
          </w:p>
        </w:tc>
      </w:tr>
      <w:tr>
        <w:tc>
          <w:tcPr>
            <w:tcW w:type="dxa" w:w="5112"/>
          </w:tcPr>
          <w:p>
            <w:r>
              <w:t>PostgreSQL</w:t>
            </w:r>
          </w:p>
        </w:tc>
        <w:tc>
          <w:tcPr>
            <w:tcW w:type="dxa" w:w="5112"/>
          </w:tcPr>
          <w:p>
            <w:r>
              <w:t>16.x</w:t>
            </w:r>
          </w:p>
        </w:tc>
      </w:tr>
      <w:tr>
        <w:tc>
          <w:tcPr>
            <w:tcW w:type="dxa" w:w="5112"/>
          </w:tcPr>
          <w:p>
            <w:r>
              <w:t>Redis</w:t>
            </w:r>
          </w:p>
        </w:tc>
        <w:tc>
          <w:tcPr>
            <w:tcW w:type="dxa" w:w="5112"/>
          </w:tcPr>
          <w:p>
            <w:r>
              <w:t>7.x</w:t>
            </w:r>
          </w:p>
        </w:tc>
      </w:tr>
      <w:tr>
        <w:tc>
          <w:tcPr>
            <w:tcW w:type="dxa" w:w="5112"/>
          </w:tcPr>
          <w:p>
            <w:r>
              <w:t>Kubernetes</w:t>
            </w:r>
          </w:p>
        </w:tc>
        <w:tc>
          <w:tcPr>
            <w:tcW w:type="dxa" w:w="5112"/>
          </w:tcPr>
          <w:p>
            <w:r>
              <w:t>1.3x supported release; pin exact patch</w:t>
            </w:r>
          </w:p>
        </w:tc>
      </w:tr>
      <w:tr>
        <w:tc>
          <w:tcPr>
            <w:tcW w:type="dxa" w:w="5112"/>
          </w:tcPr>
          <w:p>
            <w:r>
              <w:t>Helm</w:t>
            </w:r>
          </w:p>
        </w:tc>
        <w:tc>
          <w:tcPr>
            <w:tcW w:type="dxa" w:w="5112"/>
          </w:tcPr>
          <w:p>
            <w:r>
              <w:t>3.x</w:t>
            </w:r>
          </w:p>
        </w:tc>
      </w:tr>
      <w:tr>
        <w:tc>
          <w:tcPr>
            <w:tcW w:type="dxa" w:w="5112"/>
          </w:tcPr>
          <w:p>
            <w:r>
              <w:t>Docker</w:t>
            </w:r>
          </w:p>
        </w:tc>
        <w:tc>
          <w:tcPr>
            <w:tcW w:type="dxa" w:w="5112"/>
          </w:tcPr>
          <w:p>
            <w:r>
              <w:t>26.x+ compatible runtime; pin tested version</w:t>
            </w:r>
          </w:p>
        </w:tc>
      </w:tr>
      <w:tr>
        <w:tc>
          <w:tcPr>
            <w:tcW w:type="dxa" w:w="5112"/>
          </w:tcPr>
          <w:p>
            <w:r>
              <w:t>Kafka</w:t>
            </w:r>
          </w:p>
        </w:tc>
        <w:tc>
          <w:tcPr>
            <w:tcW w:type="dxa" w:w="5112"/>
          </w:tcPr>
          <w:p>
            <w:r>
              <w:t>3.x or NATS 2.x</w:t>
            </w:r>
          </w:p>
        </w:tc>
      </w:tr>
      <w:tr>
        <w:tc>
          <w:tcPr>
            <w:tcW w:type="dxa" w:w="5112"/>
          </w:tcPr>
          <w:p>
            <w:r>
              <w:t>OpenTelemetry</w:t>
            </w:r>
          </w:p>
        </w:tc>
        <w:tc>
          <w:tcPr>
            <w:tcW w:type="dxa" w:w="5112"/>
          </w:tcPr>
          <w:p>
            <w:r>
              <w:t>current pinned SDK/collector versions</w:t>
            </w:r>
          </w:p>
        </w:tc>
      </w:tr>
      <w:tr>
        <w:tc>
          <w:tcPr>
            <w:tcW w:type="dxa" w:w="5112"/>
          </w:tcPr>
          <w:p>
            <w:r>
              <w:t>OPA</w:t>
            </w:r>
          </w:p>
        </w:tc>
        <w:tc>
          <w:tcPr>
            <w:tcW w:type="dxa" w:w="5112"/>
          </w:tcPr>
          <w:p>
            <w:r>
              <w:t>0.7x+ current tested release</w:t>
            </w:r>
          </w:p>
        </w:tc>
      </w:tr>
      <w:tr>
        <w:tc>
          <w:tcPr>
            <w:tcW w:type="dxa" w:w="5112"/>
          </w:tcPr>
          <w:p>
            <w:r>
              <w:t>Terraform</w:t>
            </w:r>
          </w:p>
        </w:tc>
        <w:tc>
          <w:tcPr>
            <w:tcW w:type="dxa" w:w="5112"/>
          </w:tcPr>
          <w:p>
            <w:r>
              <w:t>1.8+ or organization-approved pinned release</w:t>
            </w:r>
          </w:p>
        </w:tc>
      </w:tr>
      <w:tr>
        <w:tc>
          <w:tcPr>
            <w:tcW w:type="dxa" w:w="5112"/>
          </w:tcPr>
          <w:p>
            <w:r>
              <w:t>Node.js</w:t>
            </w:r>
          </w:p>
        </w:tc>
        <w:tc>
          <w:tcPr>
            <w:tcW w:type="dxa" w:w="5112"/>
          </w:tcPr>
          <w:p>
            <w:r>
              <w:t>22 LTS if frontend/services require it</w:t>
            </w:r>
          </w:p>
        </w:tc>
      </w:tr>
      <w:tr>
        <w:tc>
          <w:tcPr>
            <w:tcW w:type="dxa" w:w="5112"/>
          </w:tcPr>
          <w:p>
            <w:r>
              <w:t>Object storage</w:t>
            </w:r>
          </w:p>
        </w:tc>
        <w:tc>
          <w:tcPr>
            <w:tcW w:type="dxa" w:w="5112"/>
          </w:tcPr>
          <w:p>
            <w:r>
              <w:t>S3-compatible</w:t>
            </w:r>
          </w:p>
        </w:tc>
      </w:tr>
      <w:tr>
        <w:tc>
          <w:tcPr>
            <w:tcW w:type="dxa" w:w="5112"/>
          </w:tcPr>
          <w:p>
            <w:r>
              <w:t>Vector DB</w:t>
            </w:r>
          </w:p>
        </w:tc>
        <w:tc>
          <w:tcPr>
            <w:tcW w:type="dxa" w:w="5112"/>
          </w:tcPr>
          <w:p>
            <w:r>
              <w:t>pgvector on PostgreSQL or approved vector service</w:t>
            </w:r>
          </w:p>
        </w:tc>
      </w:tr>
      <w:tr>
        <w:tc>
          <w:tcPr>
            <w:tcW w:type="dxa" w:w="5112"/>
          </w:tcPr>
          <w:p>
            <w:r>
              <w:t>Graph DB</w:t>
            </w:r>
          </w:p>
        </w:tc>
        <w:tc>
          <w:tcPr>
            <w:tcW w:type="dxa" w:w="5112"/>
          </w:tcPr>
          <w:p>
            <w:r>
              <w:t>Neo4j 5.x or approved graph service</w:t>
            </w:r>
          </w:p>
        </w:tc>
      </w:tr>
    </w:tbl>
    <w:p>
      <w:r>
        <w:t>These are engineering baselines, not a claim that every listed patch release is current or certified. The production repository must pin exact versions in lockfiles/images and run compatibility tests before promotion.</w:t>
      </w:r>
    </w:p>
    <w:p>
      <w:pPr>
        <w:pStyle w:val="Heading1"/>
      </w:pPr>
      <w:r>
        <w:t>25. Kubernetes Deployment Model</w:t>
      </w:r>
    </w:p>
    <w:p>
      <w:r>
        <w:rPr>
          <w:rFonts w:ascii="Consolas" w:hAnsi="Consolas"/>
          <w:sz w:val="15"/>
        </w:rPr>
        <w:t>cluster</w:t>
        <w:br/>
        <w:t>├── ingress</w:t>
        <w:br/>
        <w:t>├── platform</w:t>
        <w:br/>
        <w:t>│   ├── identity</w:t>
        <w:br/>
        <w:t>│   ├── tenant-service</w:t>
        <w:br/>
        <w:t>│   ├── policy</w:t>
        <w:br/>
        <w:t>│   ├── audit</w:t>
        <w:br/>
        <w:t>│   ├── observability</w:t>
        <w:br/>
        <w:t>│   └── quota</w:t>
        <w:br/>
        <w:t>├── studio-chatbot</w:t>
        <w:br/>
        <w:t>├── studio-data</w:t>
        <w:br/>
        <w:t>├── studio-ml</w:t>
        <w:br/>
        <w:t>├── studio-agentic</w:t>
        <w:br/>
        <w:t>└── tenant-workloads</w:t>
        <w:br/>
        <w:t xml:space="preserve">    ├── tenant-a</w:t>
        <w:br/>
        <w:t xml:space="preserve">    ├── tenant-b</w:t>
        <w:br/>
        <w:t xml:space="preserve">    └── premium-isolated</w:t>
      </w:r>
    </w:p>
    <w:p>
      <w:r>
        <w:t>Namespaces are useful isolation boundaries but are not sufficient alone. Kubernetes NetworkPolicy controls traffic between pods and to/from external networks when supported by the cluster network plugin. citeturn0search11</w:t>
      </w:r>
    </w:p>
    <w:p>
      <w:pPr>
        <w:pStyle w:val="Heading1"/>
      </w:pPr>
      <w:r>
        <w:t>26. Kubernetes NetworkPolicy Example</w:t>
      </w:r>
    </w:p>
    <w:p>
      <w:r>
        <w:rPr>
          <w:rFonts w:ascii="Consolas" w:hAnsi="Consolas"/>
          <w:sz w:val="15"/>
        </w:rPr>
        <w:t>apiVersion: networking.k8s.io/v1</w:t>
        <w:br/>
        <w:t>kind: NetworkPolicy</w:t>
        <w:br/>
        <w:t>metadata:</w:t>
        <w:br/>
        <w:t xml:space="preserve">  name: tenant-a-default-deny</w:t>
        <w:br/>
        <w:t xml:space="preserve">  namespace: tenant-a</w:t>
        <w:br/>
        <w:t>spec:</w:t>
        <w:br/>
        <w:t xml:space="preserve">  podSelector: {}</w:t>
        <w:br/>
        <w:t xml:space="preserve">  policyTypes:</w:t>
        <w:br/>
        <w:t xml:space="preserve">  - Ingress</w:t>
        <w:br/>
        <w:t xml:space="preserve">  - Egress</w:t>
      </w:r>
    </w:p>
    <w:p>
      <w:r>
        <w:t>Add explicit allow rules for required services. For high-isolation tenants, use dedicated namespaces, node pools and possibly clusters, depending on threat model.</w:t>
      </w:r>
    </w:p>
    <w:p>
      <w:pPr>
        <w:pStyle w:val="Heading1"/>
      </w:pPr>
      <w:r>
        <w:t>27. Directory Architecture</w:t>
      </w:r>
    </w:p>
    <w:p>
      <w:r>
        <w:rPr>
          <w:rFonts w:ascii="Consolas" w:hAnsi="Consolas"/>
          <w:sz w:val="15"/>
        </w:rPr>
        <w:t>aconnext/</w:t>
        <w:br/>
        <w:t>├── platform/</w:t>
        <w:br/>
        <w:t>│   ├── identity/</w:t>
        <w:br/>
        <w:t>│   ├── tenancy/</w:t>
        <w:br/>
        <w:t>│   ├── policy/</w:t>
        <w:br/>
        <w:t>│   ├── quota/</w:t>
        <w:br/>
        <w:t>│   ├── audit/</w:t>
        <w:br/>
        <w:t>│   └── observability/</w:t>
        <w:br/>
        <w:t>├── studios/</w:t>
        <w:br/>
        <w:t>│   ├── chatbot/</w:t>
        <w:br/>
        <w:t>│   ├── data/</w:t>
        <w:br/>
        <w:t>│   │   ├── compiler/</w:t>
        <w:br/>
        <w:t>│   │   ├── profiler/</w:t>
        <w:br/>
        <w:t>│   │   ├── dag/</w:t>
        <w:br/>
        <w:t>│   │   ├── recipe/</w:t>
        <w:br/>
        <w:t>│   │   ├── prepare/</w:t>
        <w:br/>
        <w:t>│   │   └── feature_engineer/</w:t>
        <w:br/>
        <w:t>│   ├── ml/</w:t>
        <w:br/>
        <w:t>│   │   ├── stem/</w:t>
        <w:br/>
        <w:t>│   │   ├── judge/</w:t>
        <w:br/>
        <w:t>│   │   └── registry/</w:t>
        <w:br/>
        <w:t>│   └── agentic/</w:t>
        <w:br/>
        <w:t>│       ├── visualizer/</w:t>
        <w:br/>
        <w:t>│       ├── builder/</w:t>
        <w:br/>
        <w:t>│       ├── spec/</w:t>
        <w:br/>
        <w:t>│       ├── runtime/</w:t>
        <w:br/>
        <w:t>│       ├── knowledge/</w:t>
        <w:br/>
        <w:t>│       ├── toolkit/</w:t>
        <w:br/>
        <w:t>│       └── gateway/</w:t>
        <w:br/>
        <w:t>├── contracts/</w:t>
        <w:br/>
        <w:t>│   ├── intent/</w:t>
        <w:br/>
        <w:t>│   ├── tenant-context/</w:t>
        <w:br/>
        <w:t>│   ├── manifest/</w:t>
        <w:br/>
        <w:t>│   ├── model/</w:t>
        <w:br/>
        <w:t>│   ├── agent/</w:t>
        <w:br/>
        <w:t>│   └── audit/</w:t>
        <w:br/>
        <w:t>├── deployment/</w:t>
        <w:br/>
        <w:t>│   ├── helm/</w:t>
        <w:br/>
        <w:t>│   ├── terraform/</w:t>
        <w:br/>
        <w:t>│   ├── kubernetes/</w:t>
        <w:br/>
        <w:t>│   └── environments/</w:t>
        <w:br/>
        <w:t>└── tests/</w:t>
        <w:br/>
        <w:t xml:space="preserve">    ├── isolation/</w:t>
        <w:br/>
        <w:t xml:space="preserve">    ├── authorization/</w:t>
        <w:br/>
        <w:t xml:space="preserve">    ├── contract/</w:t>
        <w:br/>
        <w:t xml:space="preserve">    ├── chaos/</w:t>
        <w:br/>
        <w:t xml:space="preserve">    └── security/</w:t>
      </w:r>
    </w:p>
    <w:p>
      <w:pPr>
        <w:pStyle w:val="Heading1"/>
      </w:pPr>
      <w:r>
        <w:t>28. Configuration</w:t>
      </w:r>
    </w:p>
    <w:p>
      <w:r>
        <w:rPr>
          <w:rFonts w:ascii="Consolas" w:hAnsi="Consolas"/>
          <w:sz w:val="15"/>
        </w:rPr>
        <w:t>TENANCY_MODE=HYBRID</w:t>
        <w:br/>
        <w:t>TENANT_CONTEXT_SOURCE=OIDC_CLAIMS_PLUS_DIRECTORY</w:t>
        <w:br/>
        <w:t>AUTHZ_DEFAULT=DENY</w:t>
        <w:br/>
        <w:t>DB_RLS=ENABLED</w:t>
        <w:br/>
        <w:t>CACHE_TENANT_PREFIX=REQUIRED</w:t>
        <w:br/>
        <w:t>STORAGE_TENANT_PREFIX=REQUIRED</w:t>
        <w:br/>
        <w:t>VECTOR_TENANT_FILTER=REQUIRED</w:t>
        <w:br/>
        <w:t>GRAPH_TENANT_FILTER=REQUIRED</w:t>
        <w:br/>
        <w:t>TELEMETRY_TENANT_FILTER=REQUIRED</w:t>
        <w:br/>
        <w:t>AUDIT_TENANT_FIELD=REQUIRED</w:t>
        <w:br/>
        <w:t>CROSS_TENANT_ADMIN=BREAK_GLASS_ONLY</w:t>
        <w:br/>
        <w:t>DEFAULT_TENANT_QUOTA_CPU=20</w:t>
        <w:br/>
        <w:t>DEFAULT_TENANT_QUOTA_MEMORY_GB=64</w:t>
        <w:br/>
        <w:t>DEFAULT_TENANT_MAX_JOBS=10</w:t>
      </w:r>
    </w:p>
    <w:p>
      <w:pPr>
        <w:pStyle w:val="Heading1"/>
      </w:pPr>
      <w:r>
        <w:t>29. Deployment Commands</w:t>
      </w:r>
    </w:p>
    <w:p>
      <w:r>
        <w:rPr>
          <w:rFonts w:ascii="Consolas" w:hAnsi="Consolas"/>
          <w:sz w:val="15"/>
        </w:rPr>
        <w:t># validate manifests</w:t>
        <w:br/>
        <w:t>kubectl apply --dry-run=server -f deployment/kubernetes/</w:t>
        <w:br/>
        <w:br/>
        <w:t># install shared platform</w:t>
        <w:br/>
        <w:t>helm upgrade --install aconnext-platform deployment/helm/platform/ -n platform --create-namespace</w:t>
        <w:br/>
        <w:br/>
        <w:t># install Data Studio</w:t>
        <w:br/>
        <w:t>helm upgrade --install data-studio deployment/helm/data-studio/ -n studio-data --create-namespace</w:t>
        <w:br/>
        <w:br/>
        <w:t># install ML Studio</w:t>
        <w:br/>
        <w:t>helm upgrade --install ml-studio deployment/helm/ml-studio/ -n studio-ml --create-namespace</w:t>
        <w:br/>
        <w:br/>
        <w:t># install Agentic Studio</w:t>
        <w:br/>
        <w:t>helm upgrade --install agentic-studio deployment/helm/agentic-studio/ -n studio-agentic --create-namespace</w:t>
        <w:br/>
        <w:br/>
        <w:t># inspect</w:t>
        <w:br/>
        <w:t>kubectl get pods -A</w:t>
        <w:br/>
        <w:t>kubectl get networkpolicy -A</w:t>
        <w:br/>
        <w:br/>
        <w:t># database migration</w:t>
        <w:br/>
        <w:t>alembic upgrade head</w:t>
        <w:br/>
        <w:br/>
        <w:t># tests</w:t>
        <w:br/>
        <w:t>pytest tests/isolation -q</w:t>
        <w:br/>
        <w:t>pytest tests/authorization -q</w:t>
        <w:br/>
        <w:t>pytest tests/contract -q</w:t>
        <w:br/>
        <w:br/>
        <w:t># security scanning</w:t>
        <w:br/>
        <w:t>trivy image aconnext/data-studio:1.0.0</w:t>
        <w:br/>
        <w:t>trivy image aconnext/agentic-runtime:1.0.0</w:t>
      </w:r>
    </w:p>
    <w:p>
      <w:pPr>
        <w:pStyle w:val="Heading1"/>
      </w:pPr>
      <w:r>
        <w:t>30. CI/CD Promotion</w:t>
      </w:r>
    </w:p>
    <w:p>
      <w:r>
        <w:rPr>
          <w:rFonts w:ascii="Consolas" w:hAnsi="Consolas"/>
          <w:sz w:val="15"/>
        </w:rPr>
        <w:t>COMMIT</w:t>
        <w:br/>
        <w:t xml:space="preserve"> -&gt; lint/typecheck</w:t>
        <w:br/>
        <w:t xml:space="preserve"> -&gt; unit tests</w:t>
        <w:br/>
        <w:t xml:space="preserve"> -&gt; contract tests</w:t>
        <w:br/>
        <w:t xml:space="preserve"> -&gt; tenant-isolation tests</w:t>
        <w:br/>
        <w:t xml:space="preserve"> -&gt; SAST/dependency scan</w:t>
        <w:br/>
        <w:t xml:space="preserve"> -&gt; container scan</w:t>
        <w:br/>
        <w:t xml:space="preserve"> -&gt; build immutable images</w:t>
        <w:br/>
        <w:t xml:space="preserve"> -&gt; deploy ephemeral test environment</w:t>
        <w:br/>
        <w:t xml:space="preserve"> -&gt; cross-tenant attack suite</w:t>
        <w:br/>
        <w:t xml:space="preserve"> -&gt; performance/noisy-neighbor tests</w:t>
        <w:br/>
        <w:t xml:space="preserve"> -&gt; approval</w:t>
        <w:br/>
        <w:t xml:space="preserve"> -&gt; staging</w:t>
        <w:br/>
        <w:t xml:space="preserve"> -&gt; production canary</w:t>
        <w:br/>
        <w:t xml:space="preserve"> -&gt; tenant-by-tenant rollout</w:t>
        <w:br/>
        <w:t xml:space="preserve"> -&gt; monitor</w:t>
        <w:br/>
        <w:t xml:space="preserve"> -&gt; promote / rollback</w:t>
      </w:r>
    </w:p>
    <w:p>
      <w:pPr>
        <w:pStyle w:val="Heading1"/>
      </w:pPr>
      <w:r>
        <w:t>31. Key Failure Modes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Failure</w:t>
            </w:r>
          </w:p>
        </w:tc>
        <w:tc>
          <w:tcPr>
            <w:tcW w:type="dxa" w:w="3408"/>
          </w:tcPr>
          <w:p>
            <w:r>
              <w:t>Consequence</w:t>
            </w:r>
          </w:p>
        </w:tc>
        <w:tc>
          <w:tcPr>
            <w:tcW w:type="dxa" w:w="3408"/>
          </w:tcPr>
          <w:p>
            <w:r>
              <w:t>AI-ConneX control</w:t>
            </w:r>
          </w:p>
        </w:tc>
      </w:tr>
      <w:tr>
        <w:tc>
          <w:tcPr>
            <w:tcW w:type="dxa" w:w="3408"/>
          </w:tcPr>
          <w:p>
            <w:r>
              <w:t>Tenant ID spoofing</w:t>
            </w:r>
          </w:p>
        </w:tc>
        <w:tc>
          <w:tcPr>
            <w:tcW w:type="dxa" w:w="3408"/>
          </w:tcPr>
          <w:p>
            <w:r>
              <w:t>Cross-tenant access</w:t>
            </w:r>
          </w:p>
        </w:tc>
        <w:tc>
          <w:tcPr>
            <w:tcW w:type="dxa" w:w="3408"/>
          </w:tcPr>
          <w:p>
            <w:r>
              <w:t>derive from verified identity</w:t>
            </w:r>
          </w:p>
        </w:tc>
      </w:tr>
      <w:tr>
        <w:tc>
          <w:tcPr>
            <w:tcW w:type="dxa" w:w="3408"/>
          </w:tcPr>
          <w:p>
            <w:r>
              <w:t>Missing tenant filter</w:t>
            </w:r>
          </w:p>
        </w:tc>
        <w:tc>
          <w:tcPr>
            <w:tcW w:type="dxa" w:w="3408"/>
          </w:tcPr>
          <w:p>
            <w:r>
              <w:t>Data leak</w:t>
            </w:r>
          </w:p>
        </w:tc>
        <w:tc>
          <w:tcPr>
            <w:tcW w:type="dxa" w:w="3408"/>
          </w:tcPr>
          <w:p>
            <w:r>
              <w:t>repository + RLS + tests</w:t>
            </w:r>
          </w:p>
        </w:tc>
      </w:tr>
      <w:tr>
        <w:tc>
          <w:tcPr>
            <w:tcW w:type="dxa" w:w="3408"/>
          </w:tcPr>
          <w:p>
            <w:r>
              <w:t>Cache collision</w:t>
            </w:r>
          </w:p>
        </w:tc>
        <w:tc>
          <w:tcPr>
            <w:tcW w:type="dxa" w:w="3408"/>
          </w:tcPr>
          <w:p>
            <w:r>
              <w:t>Wrong tenant response</w:t>
            </w:r>
          </w:p>
        </w:tc>
        <w:tc>
          <w:tcPr>
            <w:tcW w:type="dxa" w:w="3408"/>
          </w:tcPr>
          <w:p>
            <w:r>
              <w:t>tenant-prefixed keys</w:t>
            </w:r>
          </w:p>
        </w:tc>
      </w:tr>
      <w:tr>
        <w:tc>
          <w:tcPr>
            <w:tcW w:type="dxa" w:w="3408"/>
          </w:tcPr>
          <w:p>
            <w:r>
              <w:t>Vector leakage</w:t>
            </w:r>
          </w:p>
        </w:tc>
        <w:tc>
          <w:tcPr>
            <w:tcW w:type="dxa" w:w="3408"/>
          </w:tcPr>
          <w:p>
            <w:r>
              <w:t>RAG exposes another tenant</w:t>
            </w:r>
          </w:p>
        </w:tc>
        <w:tc>
          <w:tcPr>
            <w:tcW w:type="dxa" w:w="3408"/>
          </w:tcPr>
          <w:p>
            <w:r>
              <w:t>pre-retrieval tenant filter</w:t>
            </w:r>
          </w:p>
        </w:tc>
      </w:tr>
      <w:tr>
        <w:tc>
          <w:tcPr>
            <w:tcW w:type="dxa" w:w="3408"/>
          </w:tcPr>
          <w:p>
            <w:r>
              <w:t>Graph leakage</w:t>
            </w:r>
          </w:p>
        </w:tc>
        <w:tc>
          <w:tcPr>
            <w:tcW w:type="dxa" w:w="3408"/>
          </w:tcPr>
          <w:p>
            <w:r>
              <w:t>Topology/document leakage</w:t>
            </w:r>
          </w:p>
        </w:tc>
        <w:tc>
          <w:tcPr>
            <w:tcW w:type="dxa" w:w="3408"/>
          </w:tcPr>
          <w:p>
            <w:r>
              <w:t>tenant-scoped graph</w:t>
            </w:r>
          </w:p>
        </w:tc>
      </w:tr>
      <w:tr>
        <w:tc>
          <w:tcPr>
            <w:tcW w:type="dxa" w:w="3408"/>
          </w:tcPr>
          <w:p>
            <w:r>
              <w:t>Telemetry leakage</w:t>
            </w:r>
          </w:p>
        </w:tc>
        <w:tc>
          <w:tcPr>
            <w:tcW w:type="dxa" w:w="3408"/>
          </w:tcPr>
          <w:p>
            <w:r>
              <w:t>Industrial data exposure</w:t>
            </w:r>
          </w:p>
        </w:tc>
        <w:tc>
          <w:tcPr>
            <w:tcW w:type="dxa" w:w="3408"/>
          </w:tcPr>
          <w:p>
            <w:r>
              <w:t>scope at query layer</w:t>
            </w:r>
          </w:p>
        </w:tc>
      </w:tr>
      <w:tr>
        <w:tc>
          <w:tcPr>
            <w:tcW w:type="dxa" w:w="3408"/>
          </w:tcPr>
          <w:p>
            <w:r>
              <w:t>Agent tool escape</w:t>
            </w:r>
          </w:p>
        </w:tc>
        <w:tc>
          <w:tcPr>
            <w:tcW w:type="dxa" w:w="3408"/>
          </w:tcPr>
          <w:p>
            <w:r>
              <w:t>Unauthorized action</w:t>
            </w:r>
          </w:p>
        </w:tc>
        <w:tc>
          <w:tcPr>
            <w:tcW w:type="dxa" w:w="3408"/>
          </w:tcPr>
          <w:p>
            <w:r>
              <w:t>SPEC + policy + gateway</w:t>
            </w:r>
          </w:p>
        </w:tc>
      </w:tr>
      <w:tr>
        <w:tc>
          <w:tcPr>
            <w:tcW w:type="dxa" w:w="3408"/>
          </w:tcPr>
          <w:p>
            <w:r>
              <w:t>Admin overreach</w:t>
            </w:r>
          </w:p>
        </w:tc>
        <w:tc>
          <w:tcPr>
            <w:tcW w:type="dxa" w:w="3408"/>
          </w:tcPr>
          <w:p>
            <w:r>
              <w:t>Silent cross-tenant access</w:t>
            </w:r>
          </w:p>
        </w:tc>
        <w:tc>
          <w:tcPr>
            <w:tcW w:type="dxa" w:w="3408"/>
          </w:tcPr>
          <w:p>
            <w:r>
              <w:t>break-glass + audit</w:t>
            </w:r>
          </w:p>
        </w:tc>
      </w:tr>
      <w:tr>
        <w:tc>
          <w:tcPr>
            <w:tcW w:type="dxa" w:w="3408"/>
          </w:tcPr>
          <w:p>
            <w:r>
              <w:t>Noisy neighbor</w:t>
            </w:r>
          </w:p>
        </w:tc>
        <w:tc>
          <w:tcPr>
            <w:tcW w:type="dxa" w:w="3408"/>
          </w:tcPr>
          <w:p>
            <w:r>
              <w:t>Availability impact</w:t>
            </w:r>
          </w:p>
        </w:tc>
        <w:tc>
          <w:tcPr>
            <w:tcW w:type="dxa" w:w="3408"/>
          </w:tcPr>
          <w:p>
            <w:r>
              <w:t>quotas + priority + isolation tiers</w:t>
            </w:r>
          </w:p>
        </w:tc>
      </w:tr>
      <w:tr>
        <w:tc>
          <w:tcPr>
            <w:tcW w:type="dxa" w:w="3408"/>
          </w:tcPr>
          <w:p>
            <w:r>
              <w:t>Queue mix-up</w:t>
            </w:r>
          </w:p>
        </w:tc>
        <w:tc>
          <w:tcPr>
            <w:tcW w:type="dxa" w:w="3408"/>
          </w:tcPr>
          <w:p>
            <w:r>
              <w:t>Wrong job execution</w:t>
            </w:r>
          </w:p>
        </w:tc>
        <w:tc>
          <w:tcPr>
            <w:tcW w:type="dxa" w:w="3408"/>
          </w:tcPr>
          <w:p>
            <w:r>
              <w:t>tenant-scoped queue metadata</w:t>
            </w:r>
          </w:p>
        </w:tc>
      </w:tr>
      <w:tr>
        <w:tc>
          <w:tcPr>
            <w:tcW w:type="dxa" w:w="3408"/>
          </w:tcPr>
          <w:p>
            <w:r>
              <w:t>Object path bug</w:t>
            </w:r>
          </w:p>
        </w:tc>
        <w:tc>
          <w:tcPr>
            <w:tcW w:type="dxa" w:w="3408"/>
          </w:tcPr>
          <w:p>
            <w:r>
              <w:t>File exposure</w:t>
            </w:r>
          </w:p>
        </w:tc>
        <w:tc>
          <w:tcPr>
            <w:tcW w:type="dxa" w:w="3408"/>
          </w:tcPr>
          <w:p>
            <w:r>
              <w:t>storage policy + ownership</w:t>
            </w:r>
          </w:p>
        </w:tc>
      </w:tr>
      <w:tr>
        <w:tc>
          <w:tcPr>
            <w:tcW w:type="dxa" w:w="3408"/>
          </w:tcPr>
          <w:p>
            <w:r>
              <w:t>Offboarding incomplete</w:t>
            </w:r>
          </w:p>
        </w:tc>
        <w:tc>
          <w:tcPr>
            <w:tcW w:type="dxa" w:w="3408"/>
          </w:tcPr>
          <w:p>
            <w:r>
              <w:t>Retention/privacy breach</w:t>
            </w:r>
          </w:p>
        </w:tc>
        <w:tc>
          <w:tcPr>
            <w:tcW w:type="dxa" w:w="3408"/>
          </w:tcPr>
          <w:p>
            <w:r>
              <w:t>deletion workflow + verification</w:t>
            </w:r>
          </w:p>
        </w:tc>
      </w:tr>
      <w:tr>
        <w:tc>
          <w:tcPr>
            <w:tcW w:type="dxa" w:w="3408"/>
          </w:tcPr>
          <w:p>
            <w:r>
              <w:t>Replica lag</w:t>
            </w:r>
          </w:p>
        </w:tc>
        <w:tc>
          <w:tcPr>
            <w:tcW w:type="dxa" w:w="3408"/>
          </w:tcPr>
          <w:p>
            <w:r>
              <w:t>Stale authorization/data</w:t>
            </w:r>
          </w:p>
        </w:tc>
        <w:tc>
          <w:tcPr>
            <w:tcW w:type="dxa" w:w="3408"/>
          </w:tcPr>
          <w:p>
            <w:r>
              <w:t>safe consistency rules</w:t>
            </w:r>
          </w:p>
        </w:tc>
      </w:tr>
      <w:tr>
        <w:tc>
          <w:tcPr>
            <w:tcW w:type="dxa" w:w="3408"/>
          </w:tcPr>
          <w:p>
            <w:r>
              <w:t>Backup mixing</w:t>
            </w:r>
          </w:p>
        </w:tc>
        <w:tc>
          <w:tcPr>
            <w:tcW w:type="dxa" w:w="3408"/>
          </w:tcPr>
          <w:p>
            <w:r>
              <w:t>Recovery leakage</w:t>
            </w:r>
          </w:p>
        </w:tc>
        <w:tc>
          <w:tcPr>
            <w:tcW w:type="dxa" w:w="3408"/>
          </w:tcPr>
          <w:p>
            <w:r>
              <w:t>tenant metadata + encrypted backups</w:t>
            </w:r>
          </w:p>
        </w:tc>
      </w:tr>
      <w:tr>
        <w:tc>
          <w:tcPr>
            <w:tcW w:type="dxa" w:w="3408"/>
          </w:tcPr>
          <w:p>
            <w:r>
              <w:t>Log leakage</w:t>
            </w:r>
          </w:p>
        </w:tc>
        <w:tc>
          <w:tcPr>
            <w:tcW w:type="dxa" w:w="3408"/>
          </w:tcPr>
          <w:p>
            <w:r>
              <w:t>Sensitive data exposure</w:t>
            </w:r>
          </w:p>
        </w:tc>
        <w:tc>
          <w:tcPr>
            <w:tcW w:type="dxa" w:w="3408"/>
          </w:tcPr>
          <w:p>
            <w:r>
              <w:t>tenant-scoped logs + redaction</w:t>
            </w:r>
          </w:p>
        </w:tc>
      </w:tr>
      <w:tr>
        <w:tc>
          <w:tcPr>
            <w:tcW w:type="dxa" w:w="3408"/>
          </w:tcPr>
          <w:p>
            <w:r>
              <w:t>Prompt injection</w:t>
            </w:r>
          </w:p>
        </w:tc>
        <w:tc>
          <w:tcPr>
            <w:tcW w:type="dxa" w:w="3408"/>
          </w:tcPr>
          <w:p>
            <w:r>
              <w:t>Permission manipulation</w:t>
            </w:r>
          </w:p>
        </w:tc>
        <w:tc>
          <w:tcPr>
            <w:tcW w:type="dxa" w:w="3408"/>
          </w:tcPr>
          <w:p>
            <w:r>
              <w:t>authority/data separation</w:t>
            </w:r>
          </w:p>
        </w:tc>
      </w:tr>
    </w:tbl>
    <w:p>
      <w:pPr>
        <w:pStyle w:val="Heading1"/>
      </w:pPr>
      <w:r>
        <w:t>32. Cross-Tenant Security Test Suite</w:t>
      </w:r>
    </w:p>
    <w:p>
      <w:r>
        <w:rPr>
          <w:rFonts w:ascii="Consolas" w:hAnsi="Consolas"/>
          <w:sz w:val="15"/>
        </w:rPr>
        <w:t>TENANT_A = provision("A")</w:t>
        <w:br/>
        <w:t>TENANT_B = provision("B")</w:t>
        <w:br/>
        <w:br/>
        <w:t>seed_dataset(TENANT_A, "secret-a")</w:t>
        <w:br/>
        <w:t>seed_dataset(TENANT_B, "secret-b")</w:t>
        <w:br/>
        <w:br/>
        <w:t>assert api_as(B).get("/datasets/A").status in [403,404]</w:t>
        <w:br/>
        <w:t>assert api_as(B).search("secret-a").results == []</w:t>
        <w:br/>
        <w:t>assert api_as(B).graph("A").results == []</w:t>
        <w:br/>
        <w:t>assert api_as(B).telemetry("A").status in [403,404]</w:t>
        <w:br/>
        <w:t>assert api_as(B).execute_tool("A", "alert.create").status in [403,404]</w:t>
        <w:br/>
        <w:br/>
        <w:t># cache poisoning</w:t>
        <w:br/>
        <w:t>prime_cache_as(A, "resource-A")</w:t>
        <w:br/>
        <w:t>assert get_cache_as(B, "resource-A") is None</w:t>
        <w:br/>
        <w:br/>
        <w:t># IDOR</w:t>
        <w:br/>
        <w:t>assert api_as(B).get("/datasets/{A_dataset_uid}").status in [403,404]</w:t>
      </w:r>
    </w:p>
    <w:p>
      <w:r>
        <w:t>OWASP recommends explicit cross-tenant boundary tests because logic changes in caches, queries and authorization can accidentally reintroduce tenant leakage. citeturn0search6</w:t>
      </w:r>
    </w:p>
    <w:p>
      <w:pPr>
        <w:pStyle w:val="Heading1"/>
      </w:pPr>
      <w:r>
        <w:t>33. Noisy-Neighbor Testing</w:t>
      </w:r>
    </w:p>
    <w:p>
      <w:pPr>
        <w:pStyle w:val="ListBullet"/>
      </w:pPr>
      <w:r>
        <w:t>Tenant A submits maximum permitted compiler jobs.</w:t>
      </w:r>
    </w:p>
    <w:p>
      <w:pPr>
        <w:pStyle w:val="ListBullet"/>
      </w:pPr>
      <w:r>
        <w:t>Tenant B runs an ML STEM training workload simultaneously.</w:t>
      </w:r>
    </w:p>
    <w:p>
      <w:pPr>
        <w:pStyle w:val="ListBullet"/>
      </w:pPr>
      <w:r>
        <w:t>Tenant C runs Agent Runtime monitoring.</w:t>
      </w:r>
    </w:p>
    <w:p>
      <w:pPr>
        <w:pStyle w:val="ListBullet"/>
      </w:pPr>
      <w:r>
        <w:t>Measure CPU, memory, queue latency, GPU, storage and database latency.</w:t>
      </w:r>
    </w:p>
    <w:p>
      <w:pPr>
        <w:pStyle w:val="ListBullet"/>
      </w:pPr>
      <w:r>
        <w:t>Verify quotas and priority prevent one tenant from violating another tenant's SLO.</w:t>
      </w:r>
    </w:p>
    <w:p>
      <w:pPr>
        <w:pStyle w:val="ListBullet"/>
      </w:pPr>
      <w:r>
        <w:t>Test malicious job amplification and unbounded archive extraction.</w:t>
      </w:r>
    </w:p>
    <w:p>
      <w:pPr>
        <w:pStyle w:val="Heading1"/>
      </w:pPr>
      <w:r>
        <w:t>34. Data Studio Tenant Flow</w:t>
      </w:r>
    </w:p>
    <w:p>
      <w:r>
        <w:rPr>
          <w:rFonts w:ascii="Consolas" w:hAnsi="Consolas"/>
          <w:sz w:val="15"/>
        </w:rPr>
        <w:t>UPLOAD</w:t>
        <w:br/>
        <w:t xml:space="preserve"> -&gt; tenant-bound quarantine</w:t>
        <w:br/>
        <w:t xml:space="preserve"> -&gt; malware/archive inspection</w:t>
        <w:br/>
        <w:t xml:space="preserve"> -&gt; Compiler</w:t>
        <w:br/>
        <w:t xml:space="preserve"> -&gt; tenant-scoped normalized artifact</w:t>
        <w:br/>
        <w:t xml:space="preserve"> -&gt; Profiler</w:t>
        <w:br/>
        <w:t xml:space="preserve"> -&gt; manifest-UID</w:t>
        <w:br/>
        <w:t xml:space="preserve"> -&gt; DAG/FAMILY IDs</w:t>
        <w:br/>
        <w:t xml:space="preserve"> -&gt; Recipe</w:t>
        <w:br/>
        <w:t xml:space="preserve"> -&gt; Prepare</w:t>
        <w:br/>
        <w:t xml:space="preserve"> -&gt; FE</w:t>
        <w:br/>
        <w:t xml:space="preserve"> -&gt; route</w:t>
        <w:br/>
        <w:t xml:space="preserve"> -&gt; deployment OR ML</w:t>
      </w:r>
    </w:p>
    <w:p>
      <w:r>
        <w:t>Every intermediate artifact receives tenant ownership. A dataset copied or transformed into a new format remains owned by the originating tenant unless an explicit governed sharing policy changes ownership.</w:t>
      </w:r>
    </w:p>
    <w:p>
      <w:pPr>
        <w:pStyle w:val="Heading1"/>
      </w:pPr>
      <w:r>
        <w:t>35. ML Studio Tenant Flow</w:t>
      </w:r>
    </w:p>
    <w:p>
      <w:r>
        <w:rPr>
          <w:rFonts w:ascii="Consolas" w:hAnsi="Consolas"/>
          <w:sz w:val="15"/>
        </w:rPr>
        <w:t>Manifest</w:t>
        <w:br/>
        <w:t xml:space="preserve"> -&gt; tenant validation</w:t>
        <w:br/>
        <w:t xml:space="preserve"> -&gt; feature resolver</w:t>
        <w:br/>
        <w:t xml:space="preserve"> -&gt; STEM</w:t>
        <w:br/>
        <w:t xml:space="preserve"> -&gt; train candidates</w:t>
        <w:br/>
        <w:t xml:space="preserve"> -&gt; evaluate</w:t>
        <w:br/>
        <w:t xml:space="preserve"> -&gt; judge</w:t>
        <w:br/>
        <w:t xml:space="preserve"> -&gt; tenant model registry</w:t>
        <w:br/>
        <w:t xml:space="preserve"> -&gt; tenant-scoped deployment</w:t>
        <w:br/>
        <w:t xml:space="preserve"> -&gt; inference</w:t>
        <w:br/>
        <w:t xml:space="preserve"> -&gt; audit</w:t>
      </w:r>
    </w:p>
    <w:p>
      <w:r>
        <w:t>A model must not become implicitly shared just because its weights are stored in a common model repository. Shared base models may be global, but tenant-specific fine-tunes, features, evaluation data and deployment endpoints require explicit ownership/policy.</w:t>
      </w:r>
    </w:p>
    <w:p>
      <w:pPr>
        <w:pStyle w:val="Heading1"/>
      </w:pPr>
      <w:r>
        <w:t>36. Agentic Studio Tenant Flow</w:t>
      </w:r>
    </w:p>
    <w:p>
      <w:r>
        <w:rPr>
          <w:rFonts w:ascii="Consolas" w:hAnsi="Consolas"/>
          <w:sz w:val="15"/>
        </w:rPr>
        <w:t>Tenant Intent</w:t>
        <w:br/>
        <w:t xml:space="preserve"> -&gt; Agent SPEC</w:t>
        <w:br/>
        <w:t xml:space="preserve"> -&gt; Runtime</w:t>
        <w:br/>
        <w:t xml:space="preserve"> -&gt; tenant-scoped evidence</w:t>
        <w:br/>
        <w:t xml:space="preserve"> -&gt; tenant-scoped model</w:t>
        <w:br/>
        <w:t xml:space="preserve"> -&gt; tenant-scoped toolkit</w:t>
        <w:br/>
        <w:t xml:space="preserve"> -&gt; policy</w:t>
        <w:br/>
        <w:t xml:space="preserve"> -&gt; connector</w:t>
        <w:br/>
        <w:t xml:space="preserve"> -&gt; tenant-scoped result</w:t>
        <w:br/>
        <w:t xml:space="preserve"> -&gt; audit</w:t>
      </w:r>
    </w:p>
    <w:p>
      <w:r>
        <w:t>This is the most important multi-tenancy chain because an agent can combine information and initiate actions. The toolkit gateway must verify tenant, site, asset, capability, risk and approval on every call.</w:t>
      </w:r>
    </w:p>
    <w:p>
      <w:pPr>
        <w:pStyle w:val="Heading1"/>
      </w:pPr>
      <w:r>
        <w:t>37. Shared Knowledge vs Private Knowledge</w:t>
      </w:r>
    </w:p>
    <w:tbl>
      <w:tblPr>
        <w:tblStyle w:val="TableGrid"/>
        <w:tblW w:type="auto" w:w="0"/>
        <w:jc w:val="center"/>
        <w:tblLook w:firstColumn="1" w:firstRow="1" w:lastColumn="0" w:lastRow="0" w:noHBand="0" w:noVBand="1" w:val="04A0"/>
      </w:tblPr>
      <w:tblGrid>
        <w:gridCol w:w="5112"/>
        <w:gridCol w:w="5112"/>
      </w:tblGrid>
      <w:tr>
        <w:tc>
          <w:tcPr>
            <w:tcW w:type="dxa" w:w="5112"/>
          </w:tcPr>
          <w:p>
            <w:r>
              <w:t>Knowledge type</w:t>
            </w:r>
          </w:p>
        </w:tc>
        <w:tc>
          <w:tcPr>
            <w:tcW w:type="dxa" w:w="5112"/>
          </w:tcPr>
          <w:p>
            <w:r>
              <w:t>Default</w:t>
            </w:r>
          </w:p>
        </w:tc>
      </w:tr>
      <w:tr>
        <w:tc>
          <w:tcPr>
            <w:tcW w:type="dxa" w:w="5112"/>
          </w:tcPr>
          <w:p>
            <w:r>
              <w:t>Platform public documentation</w:t>
            </w:r>
          </w:p>
        </w:tc>
        <w:tc>
          <w:tcPr>
            <w:tcW w:type="dxa" w:w="5112"/>
          </w:tcPr>
          <w:p>
            <w:r>
              <w:t>Shared</w:t>
            </w:r>
          </w:p>
        </w:tc>
      </w:tr>
      <w:tr>
        <w:tc>
          <w:tcPr>
            <w:tcW w:type="dxa" w:w="5112"/>
          </w:tcPr>
          <w:p>
            <w:r>
              <w:t>AI-ConneX technical documentation</w:t>
            </w:r>
          </w:p>
        </w:tc>
        <w:tc>
          <w:tcPr>
            <w:tcW w:type="dxa" w:w="5112"/>
          </w:tcPr>
          <w:p>
            <w:r>
              <w:t>Shared</w:t>
            </w:r>
          </w:p>
        </w:tc>
      </w:tr>
      <w:tr>
        <w:tc>
          <w:tcPr>
            <w:tcW w:type="dxa" w:w="5112"/>
          </w:tcPr>
          <w:p>
            <w:r>
              <w:t>Tenant SOP</w:t>
            </w:r>
          </w:p>
        </w:tc>
        <w:tc>
          <w:tcPr>
            <w:tcW w:type="dxa" w:w="5112"/>
          </w:tcPr>
          <w:p>
            <w:r>
              <w:t>Private</w:t>
            </w:r>
          </w:p>
        </w:tc>
      </w:tr>
      <w:tr>
        <w:tc>
          <w:tcPr>
            <w:tcW w:type="dxa" w:w="5112"/>
          </w:tcPr>
          <w:p>
            <w:r>
              <w:t>Tenant maintenance history</w:t>
            </w:r>
          </w:p>
        </w:tc>
        <w:tc>
          <w:tcPr>
            <w:tcW w:type="dxa" w:w="5112"/>
          </w:tcPr>
          <w:p>
            <w:r>
              <w:t>Private</w:t>
            </w:r>
          </w:p>
        </w:tc>
      </w:tr>
      <w:tr>
        <w:tc>
          <w:tcPr>
            <w:tcW w:type="dxa" w:w="5112"/>
          </w:tcPr>
          <w:p>
            <w:r>
              <w:t>Tenant telemetry</w:t>
            </w:r>
          </w:p>
        </w:tc>
        <w:tc>
          <w:tcPr>
            <w:tcW w:type="dxa" w:w="5112"/>
          </w:tcPr>
          <w:p>
            <w:r>
              <w:t>Private</w:t>
            </w:r>
          </w:p>
        </w:tc>
      </w:tr>
      <w:tr>
        <w:tc>
          <w:tcPr>
            <w:tcW w:type="dxa" w:w="5112"/>
          </w:tcPr>
          <w:p>
            <w:r>
              <w:t>Tenant graph</w:t>
            </w:r>
          </w:p>
        </w:tc>
        <w:tc>
          <w:tcPr>
            <w:tcW w:type="dxa" w:w="5112"/>
          </w:tcPr>
          <w:p>
            <w:r>
              <w:t>Private</w:t>
            </w:r>
          </w:p>
        </w:tc>
      </w:tr>
      <w:tr>
        <w:tc>
          <w:tcPr>
            <w:tcW w:type="dxa" w:w="5112"/>
          </w:tcPr>
          <w:p>
            <w:r>
              <w:t>Cross-tenant benchmark</w:t>
            </w:r>
          </w:p>
        </w:tc>
        <w:tc>
          <w:tcPr>
            <w:tcW w:type="dxa" w:w="5112"/>
          </w:tcPr>
          <w:p>
            <w:r>
              <w:t>Only after explicit anonymization/governance</w:t>
            </w:r>
          </w:p>
        </w:tc>
      </w:tr>
      <w:tr>
        <w:tc>
          <w:tcPr>
            <w:tcW w:type="dxa" w:w="5112"/>
          </w:tcPr>
          <w:p>
            <w:r>
              <w:t>Global model</w:t>
            </w:r>
          </w:p>
        </w:tc>
        <w:tc>
          <w:tcPr>
            <w:tcW w:type="dxa" w:w="5112"/>
          </w:tcPr>
          <w:p>
            <w:r>
              <w:t>Shared only if approved</w:t>
            </w:r>
          </w:p>
        </w:tc>
      </w:tr>
      <w:tr>
        <w:tc>
          <w:tcPr>
            <w:tcW w:type="dxa" w:w="5112"/>
          </w:tcPr>
          <w:p>
            <w:r>
              <w:t>Tenant model</w:t>
            </w:r>
          </w:p>
        </w:tc>
        <w:tc>
          <w:tcPr>
            <w:tcW w:type="dxa" w:w="5112"/>
          </w:tcPr>
          <w:p>
            <w:r>
              <w:t>Private</w:t>
            </w:r>
          </w:p>
        </w:tc>
      </w:tr>
    </w:tbl>
    <w:p>
      <w:r>
        <w:t>RAG must distinguish source visibility from semantic relevance. A document being similar to the query does not make it authorized for retrieval.</w:t>
      </w:r>
    </w:p>
    <w:p>
      <w:pPr>
        <w:pStyle w:val="Heading1"/>
      </w:pPr>
      <w:r>
        <w:t>38. Deployment Environments</w:t>
      </w:r>
    </w:p>
    <w:tbl>
      <w:tblPr>
        <w:tblStyle w:val="TableGrid"/>
        <w:tblW w:type="auto" w:w="0"/>
        <w:jc w:val="center"/>
        <w:tblLook w:firstColumn="1" w:firstRow="1" w:lastColumn="0" w:lastRow="0" w:noHBand="0" w:noVBand="1" w:val="04A0"/>
      </w:tblPr>
      <w:tblGrid>
        <w:gridCol w:w="5112"/>
        <w:gridCol w:w="5112"/>
      </w:tblGrid>
      <w:tr>
        <w:tc>
          <w:tcPr>
            <w:tcW w:type="dxa" w:w="5112"/>
          </w:tcPr>
          <w:p>
            <w:r>
              <w:t>Environment</w:t>
            </w:r>
          </w:p>
        </w:tc>
        <w:tc>
          <w:tcPr>
            <w:tcW w:type="dxa" w:w="5112"/>
          </w:tcPr>
          <w:p>
            <w:r>
              <w:t>Purpose</w:t>
            </w:r>
          </w:p>
        </w:tc>
      </w:tr>
      <w:tr>
        <w:tc>
          <w:tcPr>
            <w:tcW w:type="dxa" w:w="5112"/>
          </w:tcPr>
          <w:p>
            <w:r>
              <w:t>dev</w:t>
            </w:r>
          </w:p>
        </w:tc>
        <w:tc>
          <w:tcPr>
            <w:tcW w:type="dxa" w:w="5112"/>
          </w:tcPr>
          <w:p>
            <w:r>
              <w:t>Rapid development; synthetic tenant data only</w:t>
            </w:r>
          </w:p>
        </w:tc>
      </w:tr>
      <w:tr>
        <w:tc>
          <w:tcPr>
            <w:tcW w:type="dxa" w:w="5112"/>
          </w:tcPr>
          <w:p>
            <w:r>
              <w:t>test</w:t>
            </w:r>
          </w:p>
        </w:tc>
        <w:tc>
          <w:tcPr>
            <w:tcW w:type="dxa" w:w="5112"/>
          </w:tcPr>
          <w:p>
            <w:r>
              <w:t>Contract/isolation/security tests</w:t>
            </w:r>
          </w:p>
        </w:tc>
      </w:tr>
      <w:tr>
        <w:tc>
          <w:tcPr>
            <w:tcW w:type="dxa" w:w="5112"/>
          </w:tcPr>
          <w:p>
            <w:r>
              <w:t>staging</w:t>
            </w:r>
          </w:p>
        </w:tc>
        <w:tc>
          <w:tcPr>
            <w:tcW w:type="dxa" w:w="5112"/>
          </w:tcPr>
          <w:p>
            <w:r>
              <w:t>Production-like integration</w:t>
            </w:r>
          </w:p>
        </w:tc>
      </w:tr>
      <w:tr>
        <w:tc>
          <w:tcPr>
            <w:tcW w:type="dxa" w:w="5112"/>
          </w:tcPr>
          <w:p>
            <w:r>
              <w:t>pilot</w:t>
            </w:r>
          </w:p>
        </w:tc>
        <w:tc>
          <w:tcPr>
            <w:tcW w:type="dxa" w:w="5112"/>
          </w:tcPr>
          <w:p>
            <w:r>
              <w:t>Selected real tenant with restricted scope</w:t>
            </w:r>
          </w:p>
        </w:tc>
      </w:tr>
      <w:tr>
        <w:tc>
          <w:tcPr>
            <w:tcW w:type="dxa" w:w="5112"/>
          </w:tcPr>
          <w:p>
            <w:r>
              <w:t>prod</w:t>
            </w:r>
          </w:p>
        </w:tc>
        <w:tc>
          <w:tcPr>
            <w:tcW w:type="dxa" w:w="5112"/>
          </w:tcPr>
          <w:p>
            <w:r>
              <w:t>Controlled tenant rollout</w:t>
            </w:r>
          </w:p>
        </w:tc>
      </w:tr>
      <w:tr>
        <w:tc>
          <w:tcPr>
            <w:tcW w:type="dxa" w:w="5112"/>
          </w:tcPr>
          <w:p>
            <w:r>
              <w:t>regulated-prod</w:t>
            </w:r>
          </w:p>
        </w:tc>
        <w:tc>
          <w:tcPr>
            <w:tcW w:type="dxa" w:w="5112"/>
          </w:tcPr>
          <w:p>
            <w:r>
              <w:t>Dedicated isolation tier where required</w:t>
            </w:r>
          </w:p>
        </w:tc>
      </w:tr>
    </w:tbl>
    <w:p>
      <w:r>
        <w:t>Never use production tenant data in development by default. If a sanitized sample is necessary, treat the resulting dataset as a new governed artifact.</w:t>
      </w:r>
    </w:p>
    <w:p>
      <w:pPr>
        <w:pStyle w:val="Heading1"/>
      </w:pPr>
      <w:r>
        <w:t>39. Disaster Recovery</w:t>
      </w:r>
    </w:p>
    <w:p>
      <w:pPr>
        <w:pStyle w:val="ListBullet"/>
      </w:pPr>
      <w:r>
        <w:t>Back up tenant metadata and authorization state.</w:t>
      </w:r>
    </w:p>
    <w:p>
      <w:pPr>
        <w:pStyle w:val="ListBullet"/>
      </w:pPr>
      <w:r>
        <w:t>Back up datasets/artifacts according to tenant retention.</w:t>
      </w:r>
    </w:p>
    <w:p>
      <w:pPr>
        <w:pStyle w:val="ListBullet"/>
      </w:pPr>
      <w:r>
        <w:t>Encrypt backups with tenant-aware keys where required.</w:t>
      </w:r>
    </w:p>
    <w:p>
      <w:pPr>
        <w:pStyle w:val="ListBullet"/>
      </w:pPr>
      <w:r>
        <w:t>Test restoring one tenant without restoring another tenant's data into the namespace.</w:t>
      </w:r>
    </w:p>
    <w:p>
      <w:pPr>
        <w:pStyle w:val="ListBullet"/>
      </w:pPr>
      <w:r>
        <w:t>Verify RLS/policy configuration after restore.</w:t>
      </w:r>
    </w:p>
    <w:p>
      <w:pPr>
        <w:pStyle w:val="ListBullet"/>
      </w:pPr>
      <w:r>
        <w:t>Replay audit and lineage records.</w:t>
      </w:r>
    </w:p>
    <w:p>
      <w:pPr>
        <w:pStyle w:val="ListBullet"/>
      </w:pPr>
      <w:r>
        <w:t>Rotate credentials after a suspected compromise.</w:t>
      </w:r>
    </w:p>
    <w:p>
      <w:pPr>
        <w:pStyle w:val="ListBullet"/>
      </w:pPr>
      <w:r>
        <w:t>Document RPO/RTO by tenant tier.</w:t>
      </w:r>
    </w:p>
    <w:p>
      <w:pPr>
        <w:pStyle w:val="Heading1"/>
      </w:pPr>
      <w:r>
        <w:t>40. Compliance Report #5</w:t>
      </w:r>
    </w:p>
    <w:p>
      <w:r>
        <w:t>This report is an engineering control mapping, not legal certification. Final compliance depends on tenant geography, sector, contracts, applicable laws and independently verified controls.</w:t>
      </w:r>
    </w:p>
    <w:tbl>
      <w:tblPr>
        <w:tblStyle w:val="TableGrid"/>
        <w:tblW w:type="auto" w:w="0"/>
        <w:jc w:val="center"/>
        <w:tblLook w:firstColumn="1" w:firstRow="1" w:lastColumn="0" w:lastRow="0" w:noHBand="0" w:noVBand="1" w:val="04A0"/>
      </w:tblPr>
      <w:tblGrid>
        <w:gridCol w:w="5112"/>
        <w:gridCol w:w="5112"/>
      </w:tblGrid>
      <w:tr>
        <w:tc>
          <w:tcPr>
            <w:tcW w:type="dxa" w:w="5112"/>
          </w:tcPr>
          <w:p>
            <w:r>
              <w:t>Control</w:t>
            </w:r>
          </w:p>
        </w:tc>
        <w:tc>
          <w:tcPr>
            <w:tcW w:type="dxa" w:w="5112"/>
          </w:tcPr>
          <w:p>
            <w:r>
              <w:t>Implementation evidence</w:t>
            </w:r>
          </w:p>
        </w:tc>
      </w:tr>
      <w:tr>
        <w:tc>
          <w:tcPr>
            <w:tcW w:type="dxa" w:w="5112"/>
          </w:tcPr>
          <w:p>
            <w:r>
              <w:t>Tenant identification</w:t>
            </w:r>
          </w:p>
        </w:tc>
        <w:tc>
          <w:tcPr>
            <w:tcW w:type="dxa" w:w="5112"/>
          </w:tcPr>
          <w:p>
            <w:r>
              <w:t>Verified identity → server-side tenant context</w:t>
            </w:r>
          </w:p>
        </w:tc>
      </w:tr>
      <w:tr>
        <w:tc>
          <w:tcPr>
            <w:tcW w:type="dxa" w:w="5112"/>
          </w:tcPr>
          <w:p>
            <w:r>
              <w:t>Least privilege</w:t>
            </w:r>
          </w:p>
        </w:tc>
        <w:tc>
          <w:tcPr>
            <w:tcW w:type="dxa" w:w="5112"/>
          </w:tcPr>
          <w:p>
            <w:r>
              <w:t>RBAC + ABAC/ReBAC attributes + deny-by-default</w:t>
            </w:r>
          </w:p>
        </w:tc>
      </w:tr>
      <w:tr>
        <w:tc>
          <w:tcPr>
            <w:tcW w:type="dxa" w:w="5112"/>
          </w:tcPr>
          <w:p>
            <w:r>
              <w:t>Data isolation</w:t>
            </w:r>
          </w:p>
        </w:tc>
        <w:tc>
          <w:tcPr>
            <w:tcW w:type="dxa" w:w="5112"/>
          </w:tcPr>
          <w:p>
            <w:r>
              <w:t>RLS/schema/database + ownership checks</w:t>
            </w:r>
          </w:p>
        </w:tc>
      </w:tr>
      <w:tr>
        <w:tc>
          <w:tcPr>
            <w:tcW w:type="dxa" w:w="5112"/>
          </w:tcPr>
          <w:p>
            <w:r>
              <w:t>Storage isolation</w:t>
            </w:r>
          </w:p>
        </w:tc>
        <w:tc>
          <w:tcPr>
            <w:tcW w:type="dxa" w:w="5112"/>
          </w:tcPr>
          <w:p>
            <w:r>
              <w:t>Tenant prefixes/policies + encryption</w:t>
            </w:r>
          </w:p>
        </w:tc>
      </w:tr>
      <w:tr>
        <w:tc>
          <w:tcPr>
            <w:tcW w:type="dxa" w:w="5112"/>
          </w:tcPr>
          <w:p>
            <w:r>
              <w:t>Cache isolation</w:t>
            </w:r>
          </w:p>
        </w:tc>
        <w:tc>
          <w:tcPr>
            <w:tcW w:type="dxa" w:w="5112"/>
          </w:tcPr>
          <w:p>
            <w:r>
              <w:t>Tenant-prefixed keys</w:t>
            </w:r>
          </w:p>
        </w:tc>
      </w:tr>
      <w:tr>
        <w:tc>
          <w:tcPr>
            <w:tcW w:type="dxa" w:w="5112"/>
          </w:tcPr>
          <w:p>
            <w:r>
              <w:t>Knowledge isolation</w:t>
            </w:r>
          </w:p>
        </w:tc>
        <w:tc>
          <w:tcPr>
            <w:tcW w:type="dxa" w:w="5112"/>
          </w:tcPr>
          <w:p>
            <w:r>
              <w:t>Pre-retrieval tenant filters</w:t>
            </w:r>
          </w:p>
        </w:tc>
      </w:tr>
      <w:tr>
        <w:tc>
          <w:tcPr>
            <w:tcW w:type="dxa" w:w="5112"/>
          </w:tcPr>
          <w:p>
            <w:r>
              <w:t>Agent isolation</w:t>
            </w:r>
          </w:p>
        </w:tc>
        <w:tc>
          <w:tcPr>
            <w:tcW w:type="dxa" w:w="5112"/>
          </w:tcPr>
          <w:p>
            <w:r>
              <w:t>Tenant-bound SPEC/runtime/tool gateway</w:t>
            </w:r>
          </w:p>
        </w:tc>
      </w:tr>
      <w:tr>
        <w:tc>
          <w:tcPr>
            <w:tcW w:type="dxa" w:w="5112"/>
          </w:tcPr>
          <w:p>
            <w:r>
              <w:t>Network isolation</w:t>
            </w:r>
          </w:p>
        </w:tc>
        <w:tc>
          <w:tcPr>
            <w:tcW w:type="dxa" w:w="5112"/>
          </w:tcPr>
          <w:p>
            <w:r>
              <w:t>NetworkPolicy + service identity</w:t>
            </w:r>
          </w:p>
        </w:tc>
      </w:tr>
      <w:tr>
        <w:tc>
          <w:tcPr>
            <w:tcW w:type="dxa" w:w="5112"/>
          </w:tcPr>
          <w:p>
            <w:r>
              <w:t>Administrative access</w:t>
            </w:r>
          </w:p>
        </w:tc>
        <w:tc>
          <w:tcPr>
            <w:tcW w:type="dxa" w:w="5112"/>
          </w:tcPr>
          <w:p>
            <w:r>
              <w:t>Break-glass + audit</w:t>
            </w:r>
          </w:p>
        </w:tc>
      </w:tr>
      <w:tr>
        <w:tc>
          <w:tcPr>
            <w:tcW w:type="dxa" w:w="5112"/>
          </w:tcPr>
          <w:p>
            <w:r>
              <w:t>Noisy-neighbor</w:t>
            </w:r>
          </w:p>
        </w:tc>
        <w:tc>
          <w:tcPr>
            <w:tcW w:type="dxa" w:w="5112"/>
          </w:tcPr>
          <w:p>
            <w:r>
              <w:t>Per-tenant CPU/memory/GPU/job/storage quotas</w:t>
            </w:r>
          </w:p>
        </w:tc>
      </w:tr>
      <w:tr>
        <w:tc>
          <w:tcPr>
            <w:tcW w:type="dxa" w:w="5112"/>
          </w:tcPr>
          <w:p>
            <w:r>
              <w:t>Auditability</w:t>
            </w:r>
          </w:p>
        </w:tc>
        <w:tc>
          <w:tcPr>
            <w:tcW w:type="dxa" w:w="5112"/>
          </w:tcPr>
          <w:p>
            <w:r>
              <w:t>Tenant-aware immutable audit events</w:t>
            </w:r>
          </w:p>
        </w:tc>
      </w:tr>
      <w:tr>
        <w:tc>
          <w:tcPr>
            <w:tcW w:type="dxa" w:w="5112"/>
          </w:tcPr>
          <w:p>
            <w:r>
              <w:t>Offboarding</w:t>
            </w:r>
          </w:p>
        </w:tc>
        <w:tc>
          <w:tcPr>
            <w:tcW w:type="dxa" w:w="5112"/>
          </w:tcPr>
          <w:p>
            <w:r>
              <w:t>Revocation + export/retention/deletion verification</w:t>
            </w:r>
          </w:p>
        </w:tc>
      </w:tr>
      <w:tr>
        <w:tc>
          <w:tcPr>
            <w:tcW w:type="dxa" w:w="5112"/>
          </w:tcPr>
          <w:p>
            <w:r>
              <w:t>Testing</w:t>
            </w:r>
          </w:p>
        </w:tc>
        <w:tc>
          <w:tcPr>
            <w:tcW w:type="dxa" w:w="5112"/>
          </w:tcPr>
          <w:p>
            <w:r>
              <w:t>Cross-tenant regression suite</w:t>
            </w:r>
          </w:p>
        </w:tc>
      </w:tr>
      <w:tr>
        <w:tc>
          <w:tcPr>
            <w:tcW w:type="dxa" w:w="5112"/>
          </w:tcPr>
          <w:p>
            <w:r>
              <w:t>Zero trust</w:t>
            </w:r>
          </w:p>
        </w:tc>
        <w:tc>
          <w:tcPr>
            <w:tcW w:type="dxa" w:w="5112"/>
          </w:tcPr>
          <w:p>
            <w:r>
              <w:t>Resource-centric authorization and service identity</w:t>
            </w:r>
          </w:p>
        </w:tc>
      </w:tr>
    </w:tbl>
    <w:p>
      <w:r>
        <w:t>NIST describes zero trust as protecting resources rather than trusting network location, and NIST SP 800-207A extends the approach to cloud-native applications using identity-centric application/service policies. citeturn0search4turn0search2</w:t>
      </w:r>
    </w:p>
    <w:p>
      <w:pPr>
        <w:pStyle w:val="Heading1"/>
      </w:pPr>
      <w:r>
        <w:t>41. POC — Two Industrial Tenants</w:t>
      </w:r>
    </w:p>
    <w:p>
      <w:r>
        <w:t>POC objective: demonstrate that two industrial tenants can run the complete AI-ConneX pipeline concurrently while proving no cross-tenant data, model, knowledge, telemetry or agent-tool access occurs.</w:t>
      </w:r>
    </w:p>
    <w:p>
      <w:pPr>
        <w:pStyle w:val="ListNumber"/>
      </w:pPr>
      <w:r>
        <w:t>Provision Tenant A and Tenant B.</w:t>
      </w:r>
    </w:p>
    <w:p>
      <w:pPr>
        <w:pStyle w:val="ListNumber"/>
      </w:pPr>
      <w:r>
        <w:t>Create one plant and compressor dataset in each.</w:t>
      </w:r>
    </w:p>
    <w:p>
      <w:pPr>
        <w:pStyle w:val="ListNumber"/>
      </w:pPr>
      <w:r>
        <w:t>Run Compiler concurrently.</w:t>
      </w:r>
    </w:p>
    <w:p>
      <w:pPr>
        <w:pStyle w:val="ListNumber"/>
      </w:pPr>
      <w:r>
        <w:t>Generate independent manifest UIDs.</w:t>
      </w:r>
    </w:p>
    <w:p>
      <w:pPr>
        <w:pStyle w:val="ListNumber"/>
      </w:pPr>
      <w:r>
        <w:t>Run Profiler/DAG/Recipe/Prepare/FE concurrently.</w:t>
      </w:r>
    </w:p>
    <w:p>
      <w:pPr>
        <w:pStyle w:val="ListNumber"/>
      </w:pPr>
      <w:r>
        <w:t>Train separate ML candidates.</w:t>
      </w:r>
    </w:p>
    <w:p>
      <w:pPr>
        <w:pStyle w:val="ListNumber"/>
      </w:pPr>
      <w:r>
        <w:t>Create tenant-specific Agent SPECs.</w:t>
      </w:r>
    </w:p>
    <w:p>
      <w:pPr>
        <w:pStyle w:val="ListNumber"/>
      </w:pPr>
      <w:r>
        <w:t>Load private SOPs into each tenant's KB.</w:t>
      </w:r>
    </w:p>
    <w:p>
      <w:pPr>
        <w:pStyle w:val="ListNumber"/>
      </w:pPr>
      <w:r>
        <w:t>Stream telemetry for both tenants.</w:t>
      </w:r>
    </w:p>
    <w:p>
      <w:pPr>
        <w:pStyle w:val="ListNumber"/>
      </w:pPr>
      <w:r>
        <w:t>Run Main Agents concurrently.</w:t>
      </w:r>
    </w:p>
    <w:p>
      <w:pPr>
        <w:pStyle w:val="ListNumber"/>
      </w:pPr>
      <w:r>
        <w:t>Attempt cross-tenant dataset, RAG, graph, telemetry and toolkit access.</w:t>
      </w:r>
    </w:p>
    <w:p>
      <w:pPr>
        <w:pStyle w:val="ListNumber"/>
      </w:pPr>
      <w:r>
        <w:t>Attempt cache-key collision and IDOR.</w:t>
      </w:r>
    </w:p>
    <w:p>
      <w:pPr>
        <w:pStyle w:val="ListNumber"/>
      </w:pPr>
      <w:r>
        <w:t>Flood Tenant A to test noisy-neighbor protection.</w:t>
      </w:r>
    </w:p>
    <w:p>
      <w:pPr>
        <w:pStyle w:val="ListNumber"/>
      </w:pPr>
      <w:r>
        <w:t>Offboard Tenant A.</w:t>
      </w:r>
    </w:p>
    <w:p>
      <w:pPr>
        <w:pStyle w:val="ListNumber"/>
      </w:pPr>
      <w:r>
        <w:t>Verify Tenant B remains operational and cannot see Tenant A's deleted artifacts.</w:t>
      </w:r>
    </w:p>
    <w:p>
      <w:pPr>
        <w:pStyle w:val="ListNumber"/>
      </w:pPr>
      <w:r>
        <w:t>Produce audit and isolation report.</w:t>
      </w:r>
    </w:p>
    <w:p>
      <w:pPr>
        <w:pStyle w:val="Heading1"/>
      </w:pPr>
      <w:r>
        <w:t>42. POC Acceptance Criteria</w:t>
      </w:r>
    </w:p>
    <w:tbl>
      <w:tblPr>
        <w:tblStyle w:val="TableGrid"/>
        <w:tblW w:type="auto" w:w="0"/>
        <w:jc w:val="center"/>
        <w:tblLook w:firstColumn="1" w:firstRow="1" w:lastColumn="0" w:lastRow="0" w:noHBand="0" w:noVBand="1" w:val="04A0"/>
      </w:tblPr>
      <w:tblGrid>
        <w:gridCol w:w="5112"/>
        <w:gridCol w:w="5112"/>
      </w:tblGrid>
      <w:tr>
        <w:tc>
          <w:tcPr>
            <w:tcW w:type="dxa" w:w="5112"/>
          </w:tcPr>
          <w:p>
            <w:r>
              <w:t>Test</w:t>
            </w:r>
          </w:p>
        </w:tc>
        <w:tc>
          <w:tcPr>
            <w:tcW w:type="dxa" w:w="5112"/>
          </w:tcPr>
          <w:p>
            <w:r>
              <w:t>Pass condition</w:t>
            </w:r>
          </w:p>
        </w:tc>
      </w:tr>
      <w:tr>
        <w:tc>
          <w:tcPr>
            <w:tcW w:type="dxa" w:w="5112"/>
          </w:tcPr>
          <w:p>
            <w:r>
              <w:t>Identity</w:t>
            </w:r>
          </w:p>
        </w:tc>
        <w:tc>
          <w:tcPr>
            <w:tcW w:type="dxa" w:w="5112"/>
          </w:tcPr>
          <w:p>
            <w:r>
              <w:t>Tenant derived from verified principal</w:t>
            </w:r>
          </w:p>
        </w:tc>
      </w:tr>
      <w:tr>
        <w:tc>
          <w:tcPr>
            <w:tcW w:type="dxa" w:w="5112"/>
          </w:tcPr>
          <w:p>
            <w:r>
              <w:t>Dataset</w:t>
            </w:r>
          </w:p>
        </w:tc>
        <w:tc>
          <w:tcPr>
            <w:tcW w:type="dxa" w:w="5112"/>
          </w:tcPr>
          <w:p>
            <w:r>
              <w:t>A cannot read B</w:t>
            </w:r>
          </w:p>
        </w:tc>
      </w:tr>
      <w:tr>
        <w:tc>
          <w:tcPr>
            <w:tcW w:type="dxa" w:w="5112"/>
          </w:tcPr>
          <w:p>
            <w:r>
              <w:t>Manifest</w:t>
            </w:r>
          </w:p>
        </w:tc>
        <w:tc>
          <w:tcPr>
            <w:tcW w:type="dxa" w:w="5112"/>
          </w:tcPr>
          <w:p>
            <w:r>
              <w:t>A/B lineage independent</w:t>
            </w:r>
          </w:p>
        </w:tc>
      </w:tr>
      <w:tr>
        <w:tc>
          <w:tcPr>
            <w:tcW w:type="dxa" w:w="5112"/>
          </w:tcPr>
          <w:p>
            <w:r>
              <w:t>DAG</w:t>
            </w:r>
          </w:p>
        </w:tc>
        <w:tc>
          <w:tcPr>
            <w:tcW w:type="dxa" w:w="5112"/>
          </w:tcPr>
          <w:p>
            <w:r>
              <w:t>No cross-tenant family IDs</w:t>
            </w:r>
          </w:p>
        </w:tc>
      </w:tr>
      <w:tr>
        <w:tc>
          <w:tcPr>
            <w:tcW w:type="dxa" w:w="5112"/>
          </w:tcPr>
          <w:p>
            <w:r>
              <w:t>Recipe</w:t>
            </w:r>
          </w:p>
        </w:tc>
        <w:tc>
          <w:tcPr>
            <w:tcW w:type="dxa" w:w="5112"/>
          </w:tcPr>
          <w:p>
            <w:r>
              <w:t>No cross-tenant references</w:t>
            </w:r>
          </w:p>
        </w:tc>
      </w:tr>
      <w:tr>
        <w:tc>
          <w:tcPr>
            <w:tcW w:type="dxa" w:w="5112"/>
          </w:tcPr>
          <w:p>
            <w:r>
              <w:t>Model</w:t>
            </w:r>
          </w:p>
        </w:tc>
        <w:tc>
          <w:tcPr>
            <w:tcW w:type="dxa" w:w="5112"/>
          </w:tcPr>
          <w:p>
            <w:r>
              <w:t>A endpoint cannot serve B data</w:t>
            </w:r>
          </w:p>
        </w:tc>
      </w:tr>
      <w:tr>
        <w:tc>
          <w:tcPr>
            <w:tcW w:type="dxa" w:w="5112"/>
          </w:tcPr>
          <w:p>
            <w:r>
              <w:t>RAG</w:t>
            </w:r>
          </w:p>
        </w:tc>
        <w:tc>
          <w:tcPr>
            <w:tcW w:type="dxa" w:w="5112"/>
          </w:tcPr>
          <w:p>
            <w:r>
              <w:t>A cannot retrieve B private docs</w:t>
            </w:r>
          </w:p>
        </w:tc>
      </w:tr>
      <w:tr>
        <w:tc>
          <w:tcPr>
            <w:tcW w:type="dxa" w:w="5112"/>
          </w:tcPr>
          <w:p>
            <w:r>
              <w:t>Graph</w:t>
            </w:r>
          </w:p>
        </w:tc>
        <w:tc>
          <w:tcPr>
            <w:tcW w:type="dxa" w:w="5112"/>
          </w:tcPr>
          <w:p>
            <w:r>
              <w:t>A cannot traverse B graph</w:t>
            </w:r>
          </w:p>
        </w:tc>
      </w:tr>
      <w:tr>
        <w:tc>
          <w:tcPr>
            <w:tcW w:type="dxa" w:w="5112"/>
          </w:tcPr>
          <w:p>
            <w:r>
              <w:t>Telemetry</w:t>
            </w:r>
          </w:p>
        </w:tc>
        <w:tc>
          <w:tcPr>
            <w:tcW w:type="dxa" w:w="5112"/>
          </w:tcPr>
          <w:p>
            <w:r>
              <w:t>A cannot query B signals</w:t>
            </w:r>
          </w:p>
        </w:tc>
      </w:tr>
      <w:tr>
        <w:tc>
          <w:tcPr>
            <w:tcW w:type="dxa" w:w="5112"/>
          </w:tcPr>
          <w:p>
            <w:r>
              <w:t>Agent</w:t>
            </w:r>
          </w:p>
        </w:tc>
        <w:tc>
          <w:tcPr>
            <w:tcW w:type="dxa" w:w="5112"/>
          </w:tcPr>
          <w:p>
            <w:r>
              <w:t>A cannot invoke B tools</w:t>
            </w:r>
          </w:p>
        </w:tc>
      </w:tr>
      <w:tr>
        <w:tc>
          <w:tcPr>
            <w:tcW w:type="dxa" w:w="5112"/>
          </w:tcPr>
          <w:p>
            <w:r>
              <w:t>Cache</w:t>
            </w:r>
          </w:p>
        </w:tc>
        <w:tc>
          <w:tcPr>
            <w:tcW w:type="dxa" w:w="5112"/>
          </w:tcPr>
          <w:p>
            <w:r>
              <w:t>No cross-tenant cache hit</w:t>
            </w:r>
          </w:p>
        </w:tc>
      </w:tr>
      <w:tr>
        <w:tc>
          <w:tcPr>
            <w:tcW w:type="dxa" w:w="5112"/>
          </w:tcPr>
          <w:p>
            <w:r>
              <w:t>Queue</w:t>
            </w:r>
          </w:p>
        </w:tc>
        <w:tc>
          <w:tcPr>
            <w:tcW w:type="dxa" w:w="5112"/>
          </w:tcPr>
          <w:p>
            <w:r>
              <w:t>Job context remains tenant-bound</w:t>
            </w:r>
          </w:p>
        </w:tc>
      </w:tr>
      <w:tr>
        <w:tc>
          <w:tcPr>
            <w:tcW w:type="dxa" w:w="5112"/>
          </w:tcPr>
          <w:p>
            <w:r>
              <w:t>Admin</w:t>
            </w:r>
          </w:p>
        </w:tc>
        <w:tc>
          <w:tcPr>
            <w:tcW w:type="dxa" w:w="5112"/>
          </w:tcPr>
          <w:p>
            <w:r>
              <w:t>Break-glass is explicit/audited</w:t>
            </w:r>
          </w:p>
        </w:tc>
      </w:tr>
      <w:tr>
        <w:tc>
          <w:tcPr>
            <w:tcW w:type="dxa" w:w="5112"/>
          </w:tcPr>
          <w:p>
            <w:r>
              <w:t>Noisy neighbor</w:t>
            </w:r>
          </w:p>
        </w:tc>
        <w:tc>
          <w:tcPr>
            <w:tcW w:type="dxa" w:w="5112"/>
          </w:tcPr>
          <w:p>
            <w:r>
              <w:t>B SLO remains within agreed bound</w:t>
            </w:r>
          </w:p>
        </w:tc>
      </w:tr>
      <w:tr>
        <w:tc>
          <w:tcPr>
            <w:tcW w:type="dxa" w:w="5112"/>
          </w:tcPr>
          <w:p>
            <w:r>
              <w:t>Offboarding</w:t>
            </w:r>
          </w:p>
        </w:tc>
        <w:tc>
          <w:tcPr>
            <w:tcW w:type="dxa" w:w="5112"/>
          </w:tcPr>
          <w:p>
            <w:r>
              <w:t>A deleted; B unaffected</w:t>
            </w:r>
          </w:p>
        </w:tc>
      </w:tr>
    </w:tbl>
    <w:p>
      <w:pPr>
        <w:pStyle w:val="Heading1"/>
      </w:pPr>
      <w:r>
        <w:t>43. Deployment Sequence</w:t>
      </w:r>
    </w:p>
    <w:p>
      <w:r>
        <w:rPr>
          <w:rFonts w:ascii="Consolas" w:hAnsi="Consolas"/>
          <w:sz w:val="15"/>
        </w:rPr>
        <w:t>PHASE 0 — Foundations</w:t>
        <w:br/>
        <w:t>Identity + Tenant Service + Policy + Audit</w:t>
        <w:br/>
        <w:br/>
        <w:t>PHASE 1 — Data</w:t>
        <w:br/>
        <w:t>Compiler → Profiler → DAG → Recipe → Prepare → FE</w:t>
        <w:br/>
        <w:br/>
        <w:t>PHASE 2 — ML</w:t>
        <w:br/>
        <w:t>STEM → Registry → Inference</w:t>
        <w:br/>
        <w:br/>
        <w:t>PHASE 3 — Agentic</w:t>
        <w:br/>
        <w:t>Visualizer → Builder → SPEC → Runtime</w:t>
        <w:br/>
        <w:br/>
        <w:t>PHASE 4 — Knowledge</w:t>
        <w:br/>
        <w:t>KB → RAG → KG → Telemetry → Models → Tools</w:t>
        <w:br/>
        <w:br/>
        <w:t>PHASE 5 — Main Agent</w:t>
        <w:br/>
        <w:t>Main Agent + Toolkit</w:t>
        <w:br/>
        <w:br/>
        <w:t>PHASE 6 — Multi-Tenant Pilot</w:t>
        <w:br/>
        <w:t>2 tenants → 5 tenants → 20+ tenants</w:t>
        <w:br/>
        <w:br/>
        <w:t>PHASE 7 — Production</w:t>
        <w:br/>
        <w:t>Tiered isolation + SLO + DR + compliance evidence</w:t>
      </w:r>
    </w:p>
    <w:p>
      <w:pPr>
        <w:pStyle w:val="Heading1"/>
      </w:pPr>
      <w:r>
        <w:t>44. Production Readiness Gates</w:t>
      </w:r>
    </w:p>
    <w:p>
      <w:pPr>
        <w:pStyle w:val="ListBullet"/>
      </w:pPr>
      <w:r>
        <w:t>No production Studio may be deployed without tenant-aware authentication and authorization.</w:t>
      </w:r>
    </w:p>
    <w:p>
      <w:pPr>
        <w:pStyle w:val="ListBullet"/>
      </w:pPr>
      <w:r>
        <w:t>Every resource has explicit ownership/scope metadata.</w:t>
      </w:r>
    </w:p>
    <w:p>
      <w:pPr>
        <w:pStyle w:val="ListBullet"/>
      </w:pPr>
      <w:r>
        <w:t>Every data-access repository has tenant-scoped tests.</w:t>
      </w:r>
    </w:p>
    <w:p>
      <w:pPr>
        <w:pStyle w:val="ListBullet"/>
      </w:pPr>
      <w:r>
        <w:t>Database RLS is enabled for shared-table tenant data.</w:t>
      </w:r>
    </w:p>
    <w:p>
      <w:pPr>
        <w:pStyle w:val="ListBullet"/>
      </w:pPr>
      <w:r>
        <w:t>Vector/graph/telemetry retrieval is tenant-filtered before results are generated.</w:t>
      </w:r>
    </w:p>
    <w:p>
      <w:pPr>
        <w:pStyle w:val="ListBullet"/>
      </w:pPr>
      <w:r>
        <w:t>Cache and queue keys contain tenant context.</w:t>
      </w:r>
    </w:p>
    <w:p>
      <w:pPr>
        <w:pStyle w:val="ListBullet"/>
      </w:pPr>
      <w:r>
        <w:t>Agent SPEC and Toolkit calls inherit tenant scope.</w:t>
      </w:r>
    </w:p>
    <w:p>
      <w:pPr>
        <w:pStyle w:val="ListBullet"/>
      </w:pPr>
      <w:r>
        <w:t>Cross-tenant regression suite runs in CI.</w:t>
      </w:r>
    </w:p>
    <w:p>
      <w:pPr>
        <w:pStyle w:val="ListBullet"/>
      </w:pPr>
      <w:r>
        <w:t>Break-glass access is rare, time-limited and audited.</w:t>
      </w:r>
    </w:p>
    <w:p>
      <w:pPr>
        <w:pStyle w:val="ListBullet"/>
      </w:pPr>
      <w:r>
        <w:t>Per-tenant quotas are active.</w:t>
      </w:r>
    </w:p>
    <w:p>
      <w:pPr>
        <w:pStyle w:val="ListBullet"/>
      </w:pPr>
      <w:r>
        <w:t>Tenant offboarding is tested.</w:t>
      </w:r>
    </w:p>
    <w:p>
      <w:pPr>
        <w:pStyle w:val="ListBullet"/>
      </w:pPr>
      <w:r>
        <w:t>Backups/restores preserve isolation.</w:t>
      </w:r>
    </w:p>
    <w:p>
      <w:pPr>
        <w:pStyle w:val="ListBullet"/>
      </w:pPr>
      <w:r>
        <w:t>Production images and dependency versions are pinned.</w:t>
      </w:r>
    </w:p>
    <w:p>
      <w:pPr>
        <w:pStyle w:val="ListBullet"/>
      </w:pPr>
      <w:r>
        <w:t>Security, performance and disaster-recovery evidence is archived.</w:t>
      </w:r>
    </w:p>
    <w:p>
      <w:pPr>
        <w:pStyle w:val="Heading1"/>
      </w:pPr>
      <w:r>
        <w:t>45. Research / Standards References</w:t>
      </w:r>
    </w:p>
    <w:p>
      <w:r>
        <w:t>OWASP Multi-Tenant Application Security Cheat Sheet — tenant identification, database isolation, IDOR prevention, cache/session isolation, rate limiting, storage, onboarding/offboarding and audit guidance. citeturn0search1</w:t>
      </w:r>
    </w:p>
    <w:p>
      <w:r>
        <w:t>OWASP Authorization Cheat Sheet — least privilege, deny-by-default, server-side authorization, ABAC, testing and defense in depth. citeturn0search0</w:t>
      </w:r>
    </w:p>
    <w:p>
      <w:r>
        <w:t>OWASP Authorization Regression Testing — explicit cross-tenant boundary testing patterns. citeturn0search6</w:t>
      </w:r>
    </w:p>
    <w:p>
      <w:r>
        <w:t>NIST SP 800-207 — Zero Trust Architecture; resource-centric security and no implicit trust based on network location. citeturn0search4turn0search10</w:t>
      </w:r>
    </w:p>
    <w:p>
      <w:r>
        <w:t>NIST SP 800-207A — identity-centric zero-trust access control for cloud-native, multi-cloud environments, including API gateways, service identities and policy enforcement. citeturn0search2</w:t>
      </w:r>
    </w:p>
    <w:p>
      <w:r>
        <w:t>Kubernetes NetworkPolicy documentation — pod ingress/egress traffic controls for cluster network isolation when supported by the network plugin. citeturn0search11</w:t>
      </w:r>
    </w:p>
    <w:p>
      <w:pPr>
        <w:pStyle w:val="Heading1"/>
      </w:pPr>
      <w:r>
        <w:t>46. Final Architecture Principle</w:t>
      </w:r>
    </w:p>
    <w:p>
      <w:r>
        <w:rPr>
          <w:rFonts w:ascii="Consolas" w:hAnsi="Consolas"/>
          <w:sz w:val="15"/>
        </w:rPr>
        <w:t>ONE AI-ConneX PLATFORM</w:t>
        <w:br/>
        <w:t xml:space="preserve">        |</w:t>
        <w:br/>
        <w:t xml:space="preserve">  ONE TENANCY CONTRACT</w:t>
        <w:br/>
        <w:t xml:space="preserve">        |</w:t>
        <w:br/>
        <w:t xml:space="preserve">  +-----+------+-------+--------+</w:t>
        <w:br/>
        <w:t xml:space="preserve">  |            |       |        |</w:t>
        <w:br/>
        <w:t xml:space="preserve"> CHATBOT     DATA     ML     AGENTIC</w:t>
        <w:br/>
        <w:t xml:space="preserve">  |            |       |        |</w:t>
        <w:br/>
        <w:t xml:space="preserve">  +------------+-------+--------+</w:t>
        <w:br/>
        <w:t xml:space="preserve">               |</w:t>
        <w:br/>
        <w:t xml:space="preserve">        TENANT CONTEXT</w:t>
        <w:br/>
        <w:t xml:space="preserve">               |</w:t>
        <w:br/>
        <w:t xml:space="preserve">        POLICY / AUTHZ</w:t>
        <w:br/>
        <w:t xml:space="preserve">               |</w:t>
        <w:br/>
        <w:t xml:space="preserve">       DATA + COMPUTE + TOOLS</w:t>
        <w:br/>
        <w:t xml:space="preserve">               |</w:t>
        <w:br/>
        <w:t xml:space="preserve">             AUDIT</w:t>
        <w:br/>
        <w:br/>
        <w:t>Rule:</w:t>
        <w:br/>
        <w:t>NO TENANT CONTEXT → NO RESOURCE ACCESS.</w:t>
        <w:br/>
        <w:t>NO AUTHORIZATION → NO ACTION.</w:t>
        <w:br/>
        <w:t>NO SCOPE → NO EXECUTION.</w:t>
      </w:r>
    </w:p>
    <w:p>
      <w:r>
        <w:t>The implementation should make this rule structural rather than procedural: developers should have to consciously create an exception rather than remember to add a tenant filter.</w:t>
      </w:r>
    </w:p>
    <w:p>
      <w:pPr>
        <w:pStyle w:val="Heading1"/>
      </w:pPr>
      <w:r>
        <w:t>47. Conclusion</w:t>
      </w:r>
    </w:p>
    <w:p>
      <w:r>
        <w:t>Multi-tenancy is the platform foundation that makes AI-ConneX suitable for multiple industrial organizations. The key architectural decision is not merely 'add tenant_id'; it is to propagate authenticated tenant context through the entire lifecycle—from Jane's intent, through Data Studio's artifacts and ML Studio's models, into Agentic Studio's SPEC/runtime/knowledge/toolkit, and finally into every operational action and audit record.</w:t>
      </w:r>
    </w:p>
    <w:p>
      <w:r>
        <w:t>The recommended implementation combines application authorization, database isolation, storage/cache/vector/graph/telemetry scoping, service identity, network controls, quotas, auditability and continuous cross-tenant testing. This defense-in-depth model aligns with current OWASP multi-tenant guidance and NIST zero-trust principles. citeturn0search1turn0search2</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 Multi-Tenancy &amp; Studio Deployment Plan | Compliance Report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