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NANDI ORGANIC SPICES &amp; PROCESSING UNIT</w:t>
        <w:br/>
      </w:r>
      <w:r>
        <w:rPr>
          <w:color w:val="64748B"/>
          <w:sz w:val="20"/>
        </w:rPr>
        <w:t>DPR Track: DPRTypeEnum.GOVT_SCHEME | Depth: DETAILED</w:t>
        <w:br/>
        <w:t>Location: Chikkaballapur, Karnataka</w:t>
        <w:br/>
      </w:r>
    </w:p>
    <w:p>
      <w:pPr>
        <w:pStyle w:val="Heading1"/>
      </w:pPr>
      <w:r>
        <w:t>1.0 Executive Summary &amp; Project Highlights</w:t>
      </w:r>
    </w:p>
    <w:p>
      <w:r>
        <w:t>Nandi Organic Spices &amp; Processing Unit is a commercial enterprise located in Chikkaballapur, Karnataka. The total project cost is estimated at ₹629,200.00, funded by promoter contribution of ₹120,000.00 and bank loan of ₹450,000.00. The project features an average 5-year DSCR of -3.63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₹629,200.00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₹120,000.00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₹450,000.00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₹210,000.00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-3.63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₹200,000.00</w:t>
        <w:br/>
        <w:t>Furniture &amp; Fixtures: ₹40,000.00</w:t>
        <w:br/>
        <w:t>Working Capital Margin: ₹100,000.00</w:t>
        <w:br/>
        <w:t>Total Capital Outlay: ₹629,200.00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₹4,860,000</w:t>
            </w:r>
          </w:p>
        </w:tc>
        <w:tc>
          <w:tcPr>
            <w:tcW w:type="dxa" w:w="1680"/>
          </w:tcPr>
          <w:p>
            <w:r>
              <w:t>₹6,075,000</w:t>
            </w:r>
          </w:p>
        </w:tc>
        <w:tc>
          <w:tcPr>
            <w:tcW w:type="dxa" w:w="1680"/>
          </w:tcPr>
          <w:p>
            <w:r>
              <w:t>₹6,885,000</w:t>
            </w:r>
          </w:p>
        </w:tc>
        <w:tc>
          <w:tcPr>
            <w:tcW w:type="dxa" w:w="1680"/>
          </w:tcPr>
          <w:p>
            <w:r>
              <w:t>₹7,290,000</w:t>
            </w:r>
          </w:p>
        </w:tc>
        <w:tc>
          <w:tcPr>
            <w:tcW w:type="dxa" w:w="1680"/>
          </w:tcPr>
          <w:p>
            <w:r>
              <w:t>₹7,695,000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₹5,702,560</w:t>
            </w:r>
          </w:p>
        </w:tc>
        <w:tc>
          <w:tcPr>
            <w:tcW w:type="dxa" w:w="1680"/>
          </w:tcPr>
          <w:p>
            <w:r>
              <w:t>₹6,550,000</w:t>
            </w:r>
          </w:p>
        </w:tc>
        <w:tc>
          <w:tcPr>
            <w:tcW w:type="dxa" w:w="1680"/>
          </w:tcPr>
          <w:p>
            <w:r>
              <w:t>₹7,170,160</w:t>
            </w:r>
          </w:p>
        </w:tc>
        <w:tc>
          <w:tcPr>
            <w:tcW w:type="dxa" w:w="1680"/>
          </w:tcPr>
          <w:p>
            <w:r>
              <w:t>₹7,563,400</w:t>
            </w:r>
          </w:p>
        </w:tc>
        <w:tc>
          <w:tcPr>
            <w:tcW w:type="dxa" w:w="1680"/>
          </w:tcPr>
          <w:p>
            <w:r>
              <w:t>₹7,964,578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₹-943,060</w:t>
            </w:r>
          </w:p>
        </w:tc>
        <w:tc>
          <w:tcPr>
            <w:tcW w:type="dxa" w:w="1680"/>
          </w:tcPr>
          <w:p>
            <w:r>
              <w:t>₹-567,400</w:t>
            </w:r>
          </w:p>
        </w:tc>
        <w:tc>
          <w:tcPr>
            <w:tcW w:type="dxa" w:w="1680"/>
          </w:tcPr>
          <w:p>
            <w:r>
              <w:t>₹-369,460</w:t>
            </w:r>
          </w:p>
        </w:tc>
        <w:tc>
          <w:tcPr>
            <w:tcW w:type="dxa" w:w="1680"/>
          </w:tcPr>
          <w:p>
            <w:r>
              <w:t>₹-349,600</w:t>
            </w:r>
          </w:p>
        </w:tc>
        <w:tc>
          <w:tcPr>
            <w:tcW w:type="dxa" w:w="1680"/>
          </w:tcPr>
          <w:p>
            <w:r>
              <w:t>₹-337,678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-6.46</w:t>
            </w:r>
          </w:p>
        </w:tc>
        <w:tc>
          <w:tcPr>
            <w:tcW w:type="dxa" w:w="1680"/>
          </w:tcPr>
          <w:p>
            <w:r>
              <w:t>-3.88</w:t>
            </w:r>
          </w:p>
        </w:tc>
        <w:tc>
          <w:tcPr>
            <w:tcW w:type="dxa" w:w="1680"/>
          </w:tcPr>
          <w:p>
            <w:r>
              <w:t>-2.49</w:t>
            </w:r>
          </w:p>
        </w:tc>
        <w:tc>
          <w:tcPr>
            <w:tcW w:type="dxa" w:w="1680"/>
          </w:tcPr>
          <w:p>
            <w:r>
              <w:t>-2.57</w:t>
            </w:r>
          </w:p>
        </w:tc>
        <w:tc>
          <w:tcPr>
            <w:tcW w:type="dxa" w:w="1680"/>
          </w:tcPr>
          <w:p>
            <w:r>
              <w:t>-2.75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5b0c7c6b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697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5b0c7c6b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414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5b0c7c6b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46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