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BASE64 ASSET &amp; STANDARD CORPORATE REPORT UNIT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Base64 Asset &amp; Standard Corporate Report Unit is a commercial enterprise located in Bengaluru Urban, Karnataka. The total project cost is estimated at ₹2,209,200.00, funded by promoter contribution of ₹1,600,000.00 and bank loan of ₹4,750,000.00. The project features an average 5-year DSCR of -1.01 and break-even point of 85.0%.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₹2,209,200.00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₹1,600,000.00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₹4,750,000.00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-1.01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₹0.00</w:t>
        <w:br/>
        <w:t>Building &amp; Civil Works: ₹1,200,000.00</w:t>
        <w:br/>
        <w:t>Furniture &amp; Fixtures: ₹150,000.00</w:t>
        <w:br/>
        <w:t>Working Capital Margin: ₹500,000.00</w:t>
        <w:br/>
        <w:t>Total Capital Outlay: ₹2,209,200.00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₹6,480,000</w:t>
            </w:r>
          </w:p>
        </w:tc>
        <w:tc>
          <w:tcPr>
            <w:tcW w:type="dxa" w:w="1680"/>
          </w:tcPr>
          <w:p>
            <w:r>
              <w:t>₹8,100,000</w:t>
            </w:r>
          </w:p>
        </w:tc>
        <w:tc>
          <w:tcPr>
            <w:tcW w:type="dxa" w:w="1680"/>
          </w:tcPr>
          <w:p>
            <w:r>
              <w:t>₹9,180,000</w:t>
            </w:r>
          </w:p>
        </w:tc>
        <w:tc>
          <w:tcPr>
            <w:tcW w:type="dxa" w:w="1680"/>
          </w:tcPr>
          <w:p>
            <w:r>
              <w:t>₹9,720,000</w:t>
            </w:r>
          </w:p>
        </w:tc>
        <w:tc>
          <w:tcPr>
            <w:tcW w:type="dxa" w:w="1680"/>
          </w:tcPr>
          <w:p>
            <w:r>
              <w:t>₹10,260,000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₹8,218,560</w:t>
            </w:r>
          </w:p>
        </w:tc>
        <w:tc>
          <w:tcPr>
            <w:tcW w:type="dxa" w:w="1680"/>
          </w:tcPr>
          <w:p>
            <w:r>
              <w:t>₹9,378,000</w:t>
            </w:r>
          </w:p>
        </w:tc>
        <w:tc>
          <w:tcPr>
            <w:tcW w:type="dxa" w:w="1680"/>
          </w:tcPr>
          <w:p>
            <w:r>
              <w:t>₹10,236,060</w:t>
            </w:r>
          </w:p>
        </w:tc>
        <w:tc>
          <w:tcPr>
            <w:tcW w:type="dxa" w:w="1680"/>
          </w:tcPr>
          <w:p>
            <w:r>
              <w:t>₹10,793,295</w:t>
            </w:r>
          </w:p>
        </w:tc>
        <w:tc>
          <w:tcPr>
            <w:tcW w:type="dxa" w:w="1680"/>
          </w:tcPr>
          <w:p>
            <w:r>
              <w:t>₹11,362,768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₹-2,384,560</w:t>
            </w:r>
          </w:p>
        </w:tc>
        <w:tc>
          <w:tcPr>
            <w:tcW w:type="dxa" w:w="1680"/>
          </w:tcPr>
          <w:p>
            <w:r>
              <w:t>₹-1,829,000</w:t>
            </w:r>
          </w:p>
        </w:tc>
        <w:tc>
          <w:tcPr>
            <w:tcW w:type="dxa" w:w="1680"/>
          </w:tcPr>
          <w:p>
            <w:r>
              <w:t>₹-1,512,060</w:t>
            </w:r>
          </w:p>
        </w:tc>
        <w:tc>
          <w:tcPr>
            <w:tcW w:type="dxa" w:w="1680"/>
          </w:tcPr>
          <w:p>
            <w:r>
              <w:t>₹-1,434,295</w:t>
            </w:r>
          </w:p>
        </w:tc>
        <w:tc>
          <w:tcPr>
            <w:tcW w:type="dxa" w:w="1680"/>
          </w:tcPr>
          <w:p>
            <w:r>
              <w:t>₹-1,368,768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-1.22</w:t>
            </w:r>
          </w:p>
        </w:tc>
        <w:tc>
          <w:tcPr>
            <w:tcW w:type="dxa" w:w="1680"/>
          </w:tcPr>
          <w:p>
            <w:r>
              <w:t>-0.96</w:t>
            </w:r>
          </w:p>
        </w:tc>
        <w:tc>
          <w:tcPr>
            <w:tcW w:type="dxa" w:w="1680"/>
          </w:tcPr>
          <w:p>
            <w:r>
              <w:t>-0.86</w:t>
            </w:r>
          </w:p>
        </w:tc>
        <w:tc>
          <w:tcPr>
            <w:tcW w:type="dxa" w:w="1680"/>
          </w:tcPr>
          <w:p>
            <w:r>
              <w:t>-0.94</w:t>
            </w:r>
          </w:p>
        </w:tc>
        <w:tc>
          <w:tcPr>
            <w:tcW w:type="dxa" w:w="1680"/>
          </w:tcPr>
          <w:p>
            <w:r>
              <w:t>-1.06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696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8551e2a15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46549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8551e2a15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4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4001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8551e2a15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13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