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8"/>
        </w:rPr>
        <w:t>VISION KARNATAKA FOUNDATION</w:t>
        <w:br/>
      </w:r>
      <w:r>
        <w:rPr>
          <w:b/>
          <w:color w:val="1E293B"/>
          <w:sz w:val="36"/>
        </w:rPr>
        <w:t>DETAILED PROJECT REPORT (DPR)</w:t>
        <w:br/>
        <w:t>VYSHNAVI AUTOMATION &amp; ROBOTICS PVT LTD</w:t>
        <w:br/>
      </w:r>
      <w:r>
        <w:rPr>
          <w:color w:val="64748B"/>
          <w:sz w:val="20"/>
        </w:rPr>
        <w:t>DPR Track: DPRTypeEnum.BANK_LOAN | Depth: STANDARD</w:t>
        <w:br/>
        <w:t>Location: Bengaluru Urban, Karnataka</w:t>
        <w:br/>
      </w:r>
    </w:p>
    <w:p>
      <w:pPr>
        <w:pStyle w:val="Heading1"/>
      </w:pPr>
      <w:r>
        <w:t>1.0 Executive Summary &amp; Project Highlights</w:t>
      </w:r>
    </w:p>
    <w:p>
      <w:r>
        <w:t>Vyshnavi Automation &amp; Robotics Pvt Ltd is a commercial enterprise located in Bengaluru Urban, Karnataka. The total project cost is estimated at ₹29,200,000.00, funded by promoter contribution of ₹8,700,000.00 and bank loan of ₹20,500,000.00. The project features an average 5-year DSCR of 26.87 and break-even point of 25.0%.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Total Project Cost</w:t>
            </w:r>
          </w:p>
        </w:tc>
        <w:tc>
          <w:tcPr>
            <w:tcW w:type="dxa" w:w="5400"/>
          </w:tcPr>
          <w:p>
            <w:r>
              <w:t>₹29,200,000.00</w:t>
            </w:r>
          </w:p>
        </w:tc>
      </w:tr>
      <w:tr>
        <w:tc>
          <w:tcPr>
            <w:tcW w:type="dxa" w:w="5400"/>
          </w:tcPr>
          <w:p>
            <w:r>
              <w:t>Promoter Equity Contribution</w:t>
            </w:r>
          </w:p>
        </w:tc>
        <w:tc>
          <w:tcPr>
            <w:tcW w:type="dxa" w:w="5400"/>
          </w:tcPr>
          <w:p>
            <w:r>
              <w:t>₹8,700,000.00</w:t>
            </w:r>
          </w:p>
        </w:tc>
      </w:tr>
      <w:tr>
        <w:tc>
          <w:tcPr>
            <w:tcW w:type="dxa" w:w="5400"/>
          </w:tcPr>
          <w:p>
            <w:r>
              <w:t>Proposed Bank Loan</w:t>
            </w:r>
          </w:p>
        </w:tc>
        <w:tc>
          <w:tcPr>
            <w:tcW w:type="dxa" w:w="5400"/>
          </w:tcPr>
          <w:p>
            <w:r>
              <w:t>₹20,500,000.00</w:t>
            </w:r>
          </w:p>
        </w:tc>
      </w:tr>
      <w:tr>
        <w:tc>
          <w:tcPr>
            <w:tcW w:type="dxa" w:w="5400"/>
          </w:tcPr>
          <w:p>
            <w:r>
              <w:t>Government Subsidy Claim</w:t>
            </w:r>
          </w:p>
        </w:tc>
        <w:tc>
          <w:tcPr>
            <w:tcW w:type="dxa" w:w="5400"/>
          </w:tcPr>
          <w:p>
            <w:r>
              <w:t>₹0.00</w:t>
            </w:r>
          </w:p>
        </w:tc>
      </w:tr>
      <w:tr>
        <w:tc>
          <w:tcPr>
            <w:tcW w:type="dxa" w:w="5400"/>
          </w:tcPr>
          <w:p>
            <w:r>
              <w:t>Average 5-Year DSCR</w:t>
            </w:r>
          </w:p>
        </w:tc>
        <w:tc>
          <w:tcPr>
            <w:tcW w:type="dxa" w:w="5400"/>
          </w:tcPr>
          <w:p>
            <w:r>
              <w:t>26.87</w:t>
            </w:r>
          </w:p>
        </w:tc>
      </w:tr>
    </w:tbl>
    <w:p>
      <w:pPr>
        <w:pStyle w:val="Heading1"/>
      </w:pPr>
      <w:r>
        <w:t>2.0 Cost of Project &amp; Means of Finance</w:t>
      </w:r>
    </w:p>
    <w:p>
      <w:r>
        <w:t>Land &amp; Site Development: ₹2,500,000.00</w:t>
        <w:br/>
        <w:t>Building &amp; Civil Works: ₹4,500,000.00</w:t>
        <w:br/>
        <w:t>Furniture &amp; Fixtures: ₹600,000.00</w:t>
        <w:br/>
        <w:t>Working Capital Margin: ₹2,000,000.00</w:t>
        <w:br/>
        <w:t>Total Capital Outlay: ₹29,200,000.00</w:t>
      </w:r>
    </w:p>
    <w:p>
      <w:pPr>
        <w:pStyle w:val="Heading1"/>
      </w:pPr>
      <w:r>
        <w:t>3.0 5-Year Projected Income Statement (P&amp;L)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Metric</w:t>
            </w:r>
          </w:p>
        </w:tc>
        <w:tc>
          <w:tcPr>
            <w:tcW w:type="dxa" w:w="1800"/>
          </w:tcPr>
          <w:p>
            <w:r>
              <w:t>Year 1</w:t>
            </w:r>
          </w:p>
        </w:tc>
        <w:tc>
          <w:tcPr>
            <w:tcW w:type="dxa" w:w="1800"/>
          </w:tcPr>
          <w:p>
            <w:r>
              <w:t>Year 2</w:t>
            </w:r>
          </w:p>
        </w:tc>
        <w:tc>
          <w:tcPr>
            <w:tcW w:type="dxa" w:w="1800"/>
          </w:tcPr>
          <w:p>
            <w:r>
              <w:t>Year 3</w:t>
            </w:r>
          </w:p>
        </w:tc>
        <w:tc>
          <w:tcPr>
            <w:tcW w:type="dxa" w:w="1800"/>
          </w:tcPr>
          <w:p>
            <w:r>
              <w:t>Year 4</w:t>
            </w:r>
          </w:p>
        </w:tc>
        <w:tc>
          <w:tcPr>
            <w:tcW w:type="dxa" w:w="1800"/>
          </w:tcPr>
          <w:p>
            <w:r>
              <w:t>Year 5</w:t>
            </w:r>
          </w:p>
        </w:tc>
      </w:tr>
      <w:tr>
        <w:tc>
          <w:tcPr>
            <w:tcW w:type="dxa" w:w="1800"/>
          </w:tcPr>
          <w:p>
            <w:r>
              <w:t>Capacity Utilization %</w:t>
            </w:r>
          </w:p>
        </w:tc>
        <w:tc>
          <w:tcPr>
            <w:tcW w:type="dxa" w:w="1800"/>
          </w:tcPr>
          <w:p>
            <w:r>
              <w:t>60.0%</w:t>
            </w:r>
          </w:p>
        </w:tc>
        <w:tc>
          <w:tcPr>
            <w:tcW w:type="dxa" w:w="1800"/>
          </w:tcPr>
          <w:p>
            <w:r>
              <w:t>75.0%</w:t>
            </w:r>
          </w:p>
        </w:tc>
        <w:tc>
          <w:tcPr>
            <w:tcW w:type="dxa" w:w="1800"/>
          </w:tcPr>
          <w:p>
            <w:r>
              <w:t>85.0%</w:t>
            </w:r>
          </w:p>
        </w:tc>
        <w:tc>
          <w:tcPr>
            <w:tcW w:type="dxa" w:w="1800"/>
          </w:tcPr>
          <w:p>
            <w:r>
              <w:t>90.0%</w:t>
            </w:r>
          </w:p>
        </w:tc>
        <w:tc>
          <w:tcPr>
            <w:tcW w:type="dxa" w:w="1800"/>
          </w:tcPr>
          <w:p>
            <w:r>
              <w:t>95.0%</w:t>
            </w:r>
          </w:p>
        </w:tc>
      </w:tr>
      <w:tr>
        <w:tc>
          <w:tcPr>
            <w:tcW w:type="dxa" w:w="1800"/>
          </w:tcPr>
          <w:p>
            <w:r>
              <w:t>Gross Revenue (₹)</w:t>
            </w:r>
          </w:p>
        </w:tc>
        <w:tc>
          <w:tcPr>
            <w:tcW w:type="dxa" w:w="1800"/>
          </w:tcPr>
          <w:p>
            <w:r>
              <w:t>₹157,500,000</w:t>
            </w:r>
          </w:p>
        </w:tc>
        <w:tc>
          <w:tcPr>
            <w:tcW w:type="dxa" w:w="1800"/>
          </w:tcPr>
          <w:p>
            <w:r>
              <w:t>₹196,875,000</w:t>
            </w:r>
          </w:p>
        </w:tc>
        <w:tc>
          <w:tcPr>
            <w:tcW w:type="dxa" w:w="1800"/>
          </w:tcPr>
          <w:p>
            <w:r>
              <w:t>₹223,125,000</w:t>
            </w:r>
          </w:p>
        </w:tc>
        <w:tc>
          <w:tcPr>
            <w:tcW w:type="dxa" w:w="1800"/>
          </w:tcPr>
          <w:p>
            <w:r>
              <w:t>₹236,250,000</w:t>
            </w:r>
          </w:p>
        </w:tc>
        <w:tc>
          <w:tcPr>
            <w:tcW w:type="dxa" w:w="1800"/>
          </w:tcPr>
          <w:p>
            <w:r>
              <w:t>₹249,375,000</w:t>
            </w:r>
          </w:p>
        </w:tc>
      </w:tr>
      <w:tr>
        <w:tc>
          <w:tcPr>
            <w:tcW w:type="dxa" w:w="1800"/>
          </w:tcPr>
          <w:p>
            <w:r>
              <w:t>Total OPEX (₹)</w:t>
            </w:r>
          </w:p>
        </w:tc>
        <w:tc>
          <w:tcPr>
            <w:tcW w:type="dxa" w:w="1800"/>
          </w:tcPr>
          <w:p>
            <w:r>
              <w:t>₹21,651,400</w:t>
            </w:r>
          </w:p>
        </w:tc>
        <w:tc>
          <w:tcPr>
            <w:tcW w:type="dxa" w:w="1800"/>
          </w:tcPr>
          <w:p>
            <w:r>
              <w:t>₹24,911,350</w:t>
            </w:r>
          </w:p>
        </w:tc>
        <w:tc>
          <w:tcPr>
            <w:tcW w:type="dxa" w:w="1800"/>
          </w:tcPr>
          <w:p>
            <w:r>
              <w:t>₹27,280,380</w:t>
            </w:r>
          </w:p>
        </w:tc>
        <w:tc>
          <w:tcPr>
            <w:tcW w:type="dxa" w:w="1800"/>
          </w:tcPr>
          <w:p>
            <w:r>
              <w:t>₹28,759,766</w:t>
            </w:r>
          </w:p>
        </w:tc>
        <w:tc>
          <w:tcPr>
            <w:tcW w:type="dxa" w:w="1800"/>
          </w:tcPr>
          <w:p>
            <w:r>
              <w:t>₹30,267,300</w:t>
            </w:r>
          </w:p>
        </w:tc>
      </w:tr>
      <w:tr>
        <w:tc>
          <w:tcPr>
            <w:tcW w:type="dxa" w:w="1800"/>
          </w:tcPr>
          <w:p>
            <w:r>
              <w:t>PAT (Net Profit) (₹)</w:t>
            </w:r>
          </w:p>
        </w:tc>
        <w:tc>
          <w:tcPr>
            <w:tcW w:type="dxa" w:w="1800"/>
          </w:tcPr>
          <w:p>
            <w:r>
              <w:t>₹97,909,575</w:t>
            </w:r>
          </w:p>
        </w:tc>
        <w:tc>
          <w:tcPr>
            <w:tcW w:type="dxa" w:w="1800"/>
          </w:tcPr>
          <w:p>
            <w:r>
              <w:t>₹125,318,738</w:t>
            </w:r>
          </w:p>
        </w:tc>
        <w:tc>
          <w:tcPr>
            <w:tcW w:type="dxa" w:w="1800"/>
          </w:tcPr>
          <w:p>
            <w:r>
              <w:t>₹143,552,340</w:t>
            </w:r>
          </w:p>
        </w:tc>
        <w:tc>
          <w:tcPr>
            <w:tcW w:type="dxa" w:w="1800"/>
          </w:tcPr>
          <w:p>
            <w:r>
              <w:t>₹152,609,425</w:t>
            </w:r>
          </w:p>
        </w:tc>
        <w:tc>
          <w:tcPr>
            <w:tcW w:type="dxa" w:w="1800"/>
          </w:tcPr>
          <w:p>
            <w:r>
              <w:t>₹161,645,400</w:t>
            </w:r>
          </w:p>
        </w:tc>
      </w:tr>
      <w:tr>
        <w:tc>
          <w:tcPr>
            <w:tcW w:type="dxa" w:w="1800"/>
          </w:tcPr>
          <w:p>
            <w:r>
              <w:t>DSCR Ratio</w:t>
            </w:r>
          </w:p>
        </w:tc>
        <w:tc>
          <w:tcPr>
            <w:tcW w:type="dxa" w:w="1800"/>
          </w:tcPr>
          <w:p>
            <w:r>
              <w:t>16.51</w:t>
            </w:r>
          </w:p>
        </w:tc>
        <w:tc>
          <w:tcPr>
            <w:tcW w:type="dxa" w:w="1800"/>
          </w:tcPr>
          <w:p>
            <w:r>
              <w:t>22.36</w:t>
            </w:r>
          </w:p>
        </w:tc>
        <w:tc>
          <w:tcPr>
            <w:tcW w:type="dxa" w:w="1800"/>
          </w:tcPr>
          <w:p>
            <w:r>
              <w:t>27.45</w:t>
            </w:r>
          </w:p>
        </w:tc>
        <w:tc>
          <w:tcPr>
            <w:tcW w:type="dxa" w:w="1800"/>
          </w:tcPr>
          <w:p>
            <w:r>
              <w:t>31.57</w:t>
            </w:r>
          </w:p>
        </w:tc>
        <w:tc>
          <w:tcPr>
            <w:tcW w:type="dxa" w:w="1800"/>
          </w:tcPr>
          <w:p>
            <w:r>
              <w:t>36.47</w:t>
            </w:r>
          </w:p>
        </w:tc>
      </w:tr>
    </w:tbl>
    <w:p>
      <w:pPr>
        <w:pStyle w:val="Heading1"/>
      </w:pPr>
      <w:r>
        <w:t>4.0 Graphical Financial Projections &amp; Analysis</w:t>
      </w:r>
    </w:p>
    <w:p>
      <w:r>
        <w:t>Chart: Revenue Ebitda</w:t>
      </w:r>
    </w:p>
    <w:p>
      <w:r>
        <w:drawing>
          <wp:inline xmlns:a="http://schemas.openxmlformats.org/drawingml/2006/main" xmlns:pic="http://schemas.openxmlformats.org/drawingml/2006/picture">
            <wp:extent cx="5029200" cy="24075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ebitda_job_456dcf5c3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7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Capex Pie</w:t>
      </w:r>
    </w:p>
    <w:p>
      <w:r>
        <w:drawing>
          <wp:inline xmlns:a="http://schemas.openxmlformats.org/drawingml/2006/main" xmlns:pic="http://schemas.openxmlformats.org/drawingml/2006/picture">
            <wp:extent cx="5029200" cy="29107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ex_pie_job_456dcf5c3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10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Finance Pie</w:t>
      </w:r>
    </w:p>
    <w:p>
      <w:r>
        <w:drawing>
          <wp:inline xmlns:a="http://schemas.openxmlformats.org/drawingml/2006/main" xmlns:pic="http://schemas.openxmlformats.org/drawingml/2006/picture">
            <wp:extent cx="5029200" cy="30046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_pie_job_456dcf5c3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Dscr Curve</w:t>
      </w:r>
    </w:p>
    <w:p>
      <w:r>
        <w:drawing>
          <wp:inline xmlns:a="http://schemas.openxmlformats.org/drawingml/2006/main" xmlns:pic="http://schemas.openxmlformats.org/drawingml/2006/picture">
            <wp:extent cx="5029200" cy="21935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cr_curve_job_456dcf5c3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358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  <w:pgBorders>
        <w:top w:val="single" w:sz="12" w:space="24" w:color="0F172A"/>
        <w:left w:val="single" w:sz="12" w:space="24" w:color="0F172A"/>
        <w:bottom w:val="single" w:sz="12" w:space="24" w:color="0F172A"/>
        <w:right w:val="single" w:sz="12" w:space="24" w:color="0F172A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