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F172A"/>
          <w:sz w:val="28"/>
        </w:rPr>
        <w:t>VISION KARNATAKA FOUNDATION</w:t>
        <w:br/>
      </w:r>
      <w:r>
        <w:rPr>
          <w:b/>
          <w:color w:val="1E293B"/>
          <w:sz w:val="36"/>
        </w:rPr>
        <w:t>DETAILED PROJECT REPORT (DPR)</w:t>
        <w:br/>
        <w:t>NANDI ORGANIC SPICES &amp; PULVERIZING UNIT</w:t>
        <w:br/>
      </w:r>
      <w:r>
        <w:rPr>
          <w:color w:val="64748B"/>
          <w:sz w:val="20"/>
        </w:rPr>
        <w:t>DPR Track: DPRTypeEnum.GOVT_SCHEME | Depth: STANDARD</w:t>
        <w:br/>
        <w:t>Location: Chikkaballapur, Karnataka</w:t>
        <w:br/>
      </w:r>
    </w:p>
    <w:p>
      <w:pPr>
        <w:pStyle w:val="Heading1"/>
      </w:pPr>
      <w:r>
        <w:t>1.0 Executive Summary &amp; Project Highlights</w:t>
      </w:r>
    </w:p>
    <w:p>
      <w:r>
        <w:t>Nandi Organic Spices &amp; Pulverizing Unit is a commercial enterprise located in Chikkaballapur, Karnataka. The total project cost is estimated at ₹629,200.00, funded by promoter contribution of ₹120,000.00 and bank loan of ₹450,000.00. The project features an average 5-year DSCR of -13.79 and break-even point of 85.0%.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t>Total Project Cost</w:t>
            </w:r>
          </w:p>
        </w:tc>
        <w:tc>
          <w:tcPr>
            <w:tcW w:type="dxa" w:w="5040"/>
          </w:tcPr>
          <w:p>
            <w:r>
              <w:t>₹629,200.00</w:t>
            </w:r>
          </w:p>
        </w:tc>
      </w:tr>
      <w:tr>
        <w:tc>
          <w:tcPr>
            <w:tcW w:type="dxa" w:w="5040"/>
          </w:tcPr>
          <w:p>
            <w:r>
              <w:t>Promoter Equity Contribution</w:t>
            </w:r>
          </w:p>
        </w:tc>
        <w:tc>
          <w:tcPr>
            <w:tcW w:type="dxa" w:w="5040"/>
          </w:tcPr>
          <w:p>
            <w:r>
              <w:t>₹120,000.00</w:t>
            </w:r>
          </w:p>
        </w:tc>
      </w:tr>
      <w:tr>
        <w:tc>
          <w:tcPr>
            <w:tcW w:type="dxa" w:w="5040"/>
          </w:tcPr>
          <w:p>
            <w:r>
              <w:t>Proposed Bank Loan</w:t>
            </w:r>
          </w:p>
        </w:tc>
        <w:tc>
          <w:tcPr>
            <w:tcW w:type="dxa" w:w="5040"/>
          </w:tcPr>
          <w:p>
            <w:r>
              <w:t>₹450,000.00</w:t>
            </w:r>
          </w:p>
        </w:tc>
      </w:tr>
      <w:tr>
        <w:tc>
          <w:tcPr>
            <w:tcW w:type="dxa" w:w="5040"/>
          </w:tcPr>
          <w:p>
            <w:r>
              <w:t>Government Subsidy Claim</w:t>
            </w:r>
          </w:p>
        </w:tc>
        <w:tc>
          <w:tcPr>
            <w:tcW w:type="dxa" w:w="5040"/>
          </w:tcPr>
          <w:p>
            <w:r>
              <w:t>₹210,000.00</w:t>
            </w:r>
          </w:p>
        </w:tc>
      </w:tr>
      <w:tr>
        <w:tc>
          <w:tcPr>
            <w:tcW w:type="dxa" w:w="5040"/>
          </w:tcPr>
          <w:p>
            <w:r>
              <w:t>Average 5-Year DSCR</w:t>
            </w:r>
          </w:p>
        </w:tc>
        <w:tc>
          <w:tcPr>
            <w:tcW w:type="dxa" w:w="5040"/>
          </w:tcPr>
          <w:p>
            <w:r>
              <w:t>-13.79</w:t>
            </w:r>
          </w:p>
        </w:tc>
      </w:tr>
    </w:tbl>
    <w:p>
      <w:pPr>
        <w:pStyle w:val="Heading1"/>
      </w:pPr>
      <w:r>
        <w:t>2.0 Cost of Project &amp; Means of Finance</w:t>
      </w:r>
    </w:p>
    <w:p>
      <w:r>
        <w:t>Land &amp; Site Development: ₹0.00</w:t>
        <w:br/>
        <w:t>Building &amp; Civil Works: ₹200,000.00</w:t>
        <w:br/>
        <w:t>Furniture &amp; Fixtures: ₹40,000.00</w:t>
        <w:br/>
        <w:t>Working Capital Margin: ₹100,000.00</w:t>
        <w:br/>
        <w:t>Total Capital Outlay: ₹629,200.00</w:t>
      </w:r>
    </w:p>
    <w:p>
      <w:pPr>
        <w:pStyle w:val="Heading1"/>
      </w:pPr>
      <w:r>
        <w:t>3.0 5-Year Projected Income Statement (P&amp;L)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80"/>
        <w:gridCol w:w="1680"/>
        <w:gridCol w:w="1680"/>
        <w:gridCol w:w="1680"/>
        <w:gridCol w:w="1680"/>
        <w:gridCol w:w="1680"/>
      </w:tblGrid>
      <w:tr>
        <w:tc>
          <w:tcPr>
            <w:tcW w:type="dxa" w:w="1680"/>
          </w:tcPr>
          <w:p>
            <w:r>
              <w:t>Metric</w:t>
            </w:r>
          </w:p>
        </w:tc>
        <w:tc>
          <w:tcPr>
            <w:tcW w:type="dxa" w:w="1680"/>
          </w:tcPr>
          <w:p>
            <w:r>
              <w:t>Year 1</w:t>
            </w:r>
          </w:p>
        </w:tc>
        <w:tc>
          <w:tcPr>
            <w:tcW w:type="dxa" w:w="1680"/>
          </w:tcPr>
          <w:p>
            <w:r>
              <w:t>Year 2</w:t>
            </w:r>
          </w:p>
        </w:tc>
        <w:tc>
          <w:tcPr>
            <w:tcW w:type="dxa" w:w="1680"/>
          </w:tcPr>
          <w:p>
            <w:r>
              <w:t>Year 3</w:t>
            </w:r>
          </w:p>
        </w:tc>
        <w:tc>
          <w:tcPr>
            <w:tcW w:type="dxa" w:w="1680"/>
          </w:tcPr>
          <w:p>
            <w:r>
              <w:t>Year 4</w:t>
            </w:r>
          </w:p>
        </w:tc>
        <w:tc>
          <w:tcPr>
            <w:tcW w:type="dxa" w:w="1680"/>
          </w:tcPr>
          <w:p>
            <w:r>
              <w:t>Year 5</w:t>
            </w:r>
          </w:p>
        </w:tc>
      </w:tr>
      <w:tr>
        <w:tc>
          <w:tcPr>
            <w:tcW w:type="dxa" w:w="1680"/>
          </w:tcPr>
          <w:p>
            <w:r>
              <w:t>Capacity Utilization %</w:t>
            </w:r>
          </w:p>
        </w:tc>
        <w:tc>
          <w:tcPr>
            <w:tcW w:type="dxa" w:w="1680"/>
          </w:tcPr>
          <w:p>
            <w:r>
              <w:t>60.0%</w:t>
            </w:r>
          </w:p>
        </w:tc>
        <w:tc>
          <w:tcPr>
            <w:tcW w:type="dxa" w:w="1680"/>
          </w:tcPr>
          <w:p>
            <w:r>
              <w:t>75.0%</w:t>
            </w:r>
          </w:p>
        </w:tc>
        <w:tc>
          <w:tcPr>
            <w:tcW w:type="dxa" w:w="1680"/>
          </w:tcPr>
          <w:p>
            <w:r>
              <w:t>85.0%</w:t>
            </w:r>
          </w:p>
        </w:tc>
        <w:tc>
          <w:tcPr>
            <w:tcW w:type="dxa" w:w="1680"/>
          </w:tcPr>
          <w:p>
            <w:r>
              <w:t>90.0%</w:t>
            </w:r>
          </w:p>
        </w:tc>
        <w:tc>
          <w:tcPr>
            <w:tcW w:type="dxa" w:w="1680"/>
          </w:tcPr>
          <w:p>
            <w:r>
              <w:t>95.0%</w:t>
            </w:r>
          </w:p>
        </w:tc>
      </w:tr>
      <w:tr>
        <w:tc>
          <w:tcPr>
            <w:tcW w:type="dxa" w:w="1680"/>
          </w:tcPr>
          <w:p>
            <w:r>
              <w:t>Gross Revenue (₹)</w:t>
            </w:r>
          </w:p>
        </w:tc>
        <w:tc>
          <w:tcPr>
            <w:tcW w:type="dxa" w:w="1680"/>
          </w:tcPr>
          <w:p>
            <w:r>
              <w:t>₹4,860,000</w:t>
            </w:r>
          </w:p>
        </w:tc>
        <w:tc>
          <w:tcPr>
            <w:tcW w:type="dxa" w:w="1680"/>
          </w:tcPr>
          <w:p>
            <w:r>
              <w:t>₹6,075,000</w:t>
            </w:r>
          </w:p>
        </w:tc>
        <w:tc>
          <w:tcPr>
            <w:tcW w:type="dxa" w:w="1680"/>
          </w:tcPr>
          <w:p>
            <w:r>
              <w:t>₹6,885,000</w:t>
            </w:r>
          </w:p>
        </w:tc>
        <w:tc>
          <w:tcPr>
            <w:tcW w:type="dxa" w:w="1680"/>
          </w:tcPr>
          <w:p>
            <w:r>
              <w:t>₹7,290,000</w:t>
            </w:r>
          </w:p>
        </w:tc>
        <w:tc>
          <w:tcPr>
            <w:tcW w:type="dxa" w:w="1680"/>
          </w:tcPr>
          <w:p>
            <w:r>
              <w:t>₹7,695,000</w:t>
            </w:r>
          </w:p>
        </w:tc>
      </w:tr>
      <w:tr>
        <w:tc>
          <w:tcPr>
            <w:tcW w:type="dxa" w:w="1680"/>
          </w:tcPr>
          <w:p>
            <w:r>
              <w:t>Total OPEX (₹)</w:t>
            </w:r>
          </w:p>
        </w:tc>
        <w:tc>
          <w:tcPr>
            <w:tcW w:type="dxa" w:w="1680"/>
          </w:tcPr>
          <w:p>
            <w:r>
              <w:t>₹6,782,560</w:t>
            </w:r>
          </w:p>
        </w:tc>
        <w:tc>
          <w:tcPr>
            <w:tcW w:type="dxa" w:w="1680"/>
          </w:tcPr>
          <w:p>
            <w:r>
              <w:t>₹7,684,000</w:t>
            </w:r>
          </w:p>
        </w:tc>
        <w:tc>
          <w:tcPr>
            <w:tcW w:type="dxa" w:w="1680"/>
          </w:tcPr>
          <w:p>
            <w:r>
              <w:t>₹8,360,860</w:t>
            </w:r>
          </w:p>
        </w:tc>
        <w:tc>
          <w:tcPr>
            <w:tcW w:type="dxa" w:w="1680"/>
          </w:tcPr>
          <w:p>
            <w:r>
              <w:t>₹8,813,635</w:t>
            </w:r>
          </w:p>
        </w:tc>
        <w:tc>
          <w:tcPr>
            <w:tcW w:type="dxa" w:w="1680"/>
          </w:tcPr>
          <w:p>
            <w:r>
              <w:t>₹9,277,325</w:t>
            </w:r>
          </w:p>
        </w:tc>
      </w:tr>
      <w:tr>
        <w:tc>
          <w:tcPr>
            <w:tcW w:type="dxa" w:w="1680"/>
          </w:tcPr>
          <w:p>
            <w:r>
              <w:t>PAT (Net Profit) (₹)</w:t>
            </w:r>
          </w:p>
        </w:tc>
        <w:tc>
          <w:tcPr>
            <w:tcW w:type="dxa" w:w="1680"/>
          </w:tcPr>
          <w:p>
            <w:r>
              <w:t>₹-2,029,810</w:t>
            </w:r>
          </w:p>
        </w:tc>
        <w:tc>
          <w:tcPr>
            <w:tcW w:type="dxa" w:w="1680"/>
          </w:tcPr>
          <w:p>
            <w:r>
              <w:t>₹-1,706,800</w:t>
            </w:r>
          </w:p>
        </w:tc>
        <w:tc>
          <w:tcPr>
            <w:tcW w:type="dxa" w:w="1680"/>
          </w:tcPr>
          <w:p>
            <w:r>
              <w:t>₹-1,564,210</w:t>
            </w:r>
          </w:p>
        </w:tc>
        <w:tc>
          <w:tcPr>
            <w:tcW w:type="dxa" w:w="1680"/>
          </w:tcPr>
          <w:p>
            <w:r>
              <w:t>₹-1,602,535</w:t>
            </w:r>
          </w:p>
        </w:tc>
        <w:tc>
          <w:tcPr>
            <w:tcW w:type="dxa" w:w="1680"/>
          </w:tcPr>
          <w:p>
            <w:r>
              <w:t>₹-1,651,775</w:t>
            </w:r>
          </w:p>
        </w:tc>
      </w:tr>
      <w:tr>
        <w:tc>
          <w:tcPr>
            <w:tcW w:type="dxa" w:w="1680"/>
          </w:tcPr>
          <w:p>
            <w:r>
              <w:t>DSCR Ratio</w:t>
            </w:r>
          </w:p>
        </w:tc>
        <w:tc>
          <w:tcPr>
            <w:tcW w:type="dxa" w:w="1680"/>
          </w:tcPr>
          <w:p>
            <w:r>
              <w:t>-14.01</w:t>
            </w:r>
          </w:p>
        </w:tc>
        <w:tc>
          <w:tcPr>
            <w:tcW w:type="dxa" w:w="1680"/>
          </w:tcPr>
          <w:p>
            <w:r>
              <w:t>-12.59</w:t>
            </w:r>
          </w:p>
        </w:tc>
        <w:tc>
          <w:tcPr>
            <w:tcW w:type="dxa" w:w="1680"/>
          </w:tcPr>
          <w:p>
            <w:r>
              <w:t>-12.47</w:t>
            </w:r>
          </w:p>
        </w:tc>
        <w:tc>
          <w:tcPr>
            <w:tcW w:type="dxa" w:w="1680"/>
          </w:tcPr>
          <w:p>
            <w:r>
              <w:t>-13.99</w:t>
            </w:r>
          </w:p>
        </w:tc>
        <w:tc>
          <w:tcPr>
            <w:tcW w:type="dxa" w:w="1680"/>
          </w:tcPr>
          <w:p>
            <w:r>
              <w:t>-15.91</w:t>
            </w:r>
          </w:p>
        </w:tc>
      </w:tr>
    </w:tbl>
    <w:p>
      <w:pPr>
        <w:pStyle w:val="Heading1"/>
      </w:pPr>
      <w:r>
        <w:t>4.0 Graphical Financial Projections &amp; Analysis</w:t>
      </w:r>
    </w:p>
    <w:p>
      <w:r>
        <w:t>Chart: Revenue Ebitda</w:t>
      </w:r>
    </w:p>
    <w:p>
      <w:r>
        <w:drawing>
          <wp:inline xmlns:a="http://schemas.openxmlformats.org/drawingml/2006/main" xmlns:pic="http://schemas.openxmlformats.org/drawingml/2006/picture">
            <wp:extent cx="5029200" cy="240759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v_ebitda_job_ccdf3b90c2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40759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Chart: Capex Pie</w:t>
      </w:r>
    </w:p>
    <w:p>
      <w:r>
        <w:drawing>
          <wp:inline xmlns:a="http://schemas.openxmlformats.org/drawingml/2006/main" xmlns:pic="http://schemas.openxmlformats.org/drawingml/2006/picture">
            <wp:extent cx="5029200" cy="394007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pex_pie_job_ccdf3b90c2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94007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Chart: Finance Pie</w:t>
      </w:r>
    </w:p>
    <w:p>
      <w:r>
        <w:drawing>
          <wp:inline xmlns:a="http://schemas.openxmlformats.org/drawingml/2006/main" xmlns:pic="http://schemas.openxmlformats.org/drawingml/2006/picture">
            <wp:extent cx="5029200" cy="397042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nance_pie_job_ccdf3b90c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9704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Chart: Dscr Curve</w:t>
      </w:r>
    </w:p>
    <w:p>
      <w:r>
        <w:drawing>
          <wp:inline xmlns:a="http://schemas.openxmlformats.org/drawingml/2006/main" xmlns:pic="http://schemas.openxmlformats.org/drawingml/2006/picture">
            <wp:extent cx="5029200" cy="2193587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scr_curve_job_ccdf3b90c2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93587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