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172A"/>
          <w:sz w:val="28"/>
        </w:rPr>
        <w:t>VISION KARNATAKA FOUNDATION</w:t>
        <w:br/>
      </w:r>
      <w:r>
        <w:rPr>
          <w:b/>
          <w:color w:val="1E293B"/>
          <w:sz w:val="36"/>
        </w:rPr>
        <w:t>DETAILED PROJECT REPORT (DPR)</w:t>
        <w:br/>
        <w:t>WIKIPEDIA</w:t>
        <w:br/>
      </w:r>
      <w:r>
        <w:rPr>
          <w:color w:val="64748B"/>
          <w:sz w:val="20"/>
        </w:rPr>
        <w:t>DPR Track: DPRTypeEnum.BANK_LOAN | Depth: STANDARD</w:t>
        <w:br/>
        <w:t>Location: Mysuru, Karnataka</w:t>
        <w:br/>
      </w:r>
    </w:p>
    <w:p>
      <w:pPr>
        <w:pStyle w:val="Heading1"/>
      </w:pPr>
      <w:r>
        <w:t>1.0 Executive Summary &amp; Project Highlights</w:t>
      </w:r>
    </w:p>
    <w:p>
      <w:r>
        <w:t>Wikipedia is a commercial enterprise located in Mysuru, Karnataka. The total project cost is estimated at ₹13,400,000.00, funded by promoter contribution of ₹3,900,000.00 and bank loan of ₹9,100,000.00. The project features an average 5-year DSCR of 9.42 and break-even point of 25.3%.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Total Project Cost</w:t>
            </w:r>
          </w:p>
        </w:tc>
        <w:tc>
          <w:tcPr>
            <w:tcW w:type="dxa" w:w="5400"/>
          </w:tcPr>
          <w:p>
            <w:r>
              <w:t>₹13,400,000.00</w:t>
            </w:r>
          </w:p>
        </w:tc>
      </w:tr>
      <w:tr>
        <w:tc>
          <w:tcPr>
            <w:tcW w:type="dxa" w:w="5400"/>
          </w:tcPr>
          <w:p>
            <w:r>
              <w:t>Promoter Equity Contribution</w:t>
            </w:r>
          </w:p>
        </w:tc>
        <w:tc>
          <w:tcPr>
            <w:tcW w:type="dxa" w:w="5400"/>
          </w:tcPr>
          <w:p>
            <w:r>
              <w:t>₹3,900,000.00</w:t>
            </w:r>
          </w:p>
        </w:tc>
      </w:tr>
      <w:tr>
        <w:tc>
          <w:tcPr>
            <w:tcW w:type="dxa" w:w="5400"/>
          </w:tcPr>
          <w:p>
            <w:r>
              <w:t>Proposed Bank Loan</w:t>
            </w:r>
          </w:p>
        </w:tc>
        <w:tc>
          <w:tcPr>
            <w:tcW w:type="dxa" w:w="5400"/>
          </w:tcPr>
          <w:p>
            <w:r>
              <w:t>₹9,100,000.00</w:t>
            </w:r>
          </w:p>
        </w:tc>
      </w:tr>
      <w:tr>
        <w:tc>
          <w:tcPr>
            <w:tcW w:type="dxa" w:w="5400"/>
          </w:tcPr>
          <w:p>
            <w:r>
              <w:t>Government Subsidy Claim</w:t>
            </w:r>
          </w:p>
        </w:tc>
        <w:tc>
          <w:tcPr>
            <w:tcW w:type="dxa" w:w="5400"/>
          </w:tcPr>
          <w:p>
            <w:r>
              <w:t>₹0.00</w:t>
            </w:r>
          </w:p>
        </w:tc>
      </w:tr>
      <w:tr>
        <w:tc>
          <w:tcPr>
            <w:tcW w:type="dxa" w:w="5400"/>
          </w:tcPr>
          <w:p>
            <w:r>
              <w:t>Average 5-Year DSCR</w:t>
            </w:r>
          </w:p>
        </w:tc>
        <w:tc>
          <w:tcPr>
            <w:tcW w:type="dxa" w:w="5400"/>
          </w:tcPr>
          <w:p>
            <w:r>
              <w:t>9.42</w:t>
            </w:r>
          </w:p>
        </w:tc>
      </w:tr>
    </w:tbl>
    <w:p>
      <w:pPr>
        <w:pStyle w:val="Heading1"/>
      </w:pPr>
      <w:r>
        <w:t>2.0 Cost of Project &amp; Means of Finance</w:t>
      </w:r>
    </w:p>
    <w:p>
      <w:r>
        <w:t>Land &amp; Site Development: ₹1,500,000.00</w:t>
        <w:br/>
        <w:t>Building &amp; Civil Works: ₹3,500,000.00</w:t>
        <w:br/>
        <w:t>Furniture &amp; Fixtures: ₹500,000.00</w:t>
        <w:br/>
        <w:t>Working Capital Margin: ₹1,800,000.00</w:t>
        <w:br/>
        <w:t>Total Capital Outlay: ₹13,400,000.00</w:t>
      </w:r>
    </w:p>
    <w:p>
      <w:pPr>
        <w:pStyle w:val="Heading1"/>
      </w:pPr>
      <w:r>
        <w:t>3.0 5-Year Projected Income Statement (P&amp;L)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00"/>
        <w:gridCol w:w="1800"/>
        <w:gridCol w:w="1800"/>
        <w:gridCol w:w="1800"/>
        <w:gridCol w:w="1800"/>
        <w:gridCol w:w="1800"/>
      </w:tblGrid>
      <w:tr>
        <w:tc>
          <w:tcPr>
            <w:tcW w:type="dxa" w:w="1800"/>
          </w:tcPr>
          <w:p>
            <w:r>
              <w:t>Metric</w:t>
            </w:r>
          </w:p>
        </w:tc>
        <w:tc>
          <w:tcPr>
            <w:tcW w:type="dxa" w:w="1800"/>
          </w:tcPr>
          <w:p>
            <w:r>
              <w:t>Year 1</w:t>
            </w:r>
          </w:p>
        </w:tc>
        <w:tc>
          <w:tcPr>
            <w:tcW w:type="dxa" w:w="1800"/>
          </w:tcPr>
          <w:p>
            <w:r>
              <w:t>Year 2</w:t>
            </w:r>
          </w:p>
        </w:tc>
        <w:tc>
          <w:tcPr>
            <w:tcW w:type="dxa" w:w="1800"/>
          </w:tcPr>
          <w:p>
            <w:r>
              <w:t>Year 3</w:t>
            </w:r>
          </w:p>
        </w:tc>
        <w:tc>
          <w:tcPr>
            <w:tcW w:type="dxa" w:w="1800"/>
          </w:tcPr>
          <w:p>
            <w:r>
              <w:t>Year 4</w:t>
            </w:r>
          </w:p>
        </w:tc>
        <w:tc>
          <w:tcPr>
            <w:tcW w:type="dxa" w:w="1800"/>
          </w:tcPr>
          <w:p>
            <w:r>
              <w:t>Year 5</w:t>
            </w:r>
          </w:p>
        </w:tc>
      </w:tr>
      <w:tr>
        <w:tc>
          <w:tcPr>
            <w:tcW w:type="dxa" w:w="1800"/>
          </w:tcPr>
          <w:p>
            <w:r>
              <w:t>Capacity Utilization %</w:t>
            </w:r>
          </w:p>
        </w:tc>
        <w:tc>
          <w:tcPr>
            <w:tcW w:type="dxa" w:w="1800"/>
          </w:tcPr>
          <w:p>
            <w:r>
              <w:t>60.0%</w:t>
            </w:r>
          </w:p>
        </w:tc>
        <w:tc>
          <w:tcPr>
            <w:tcW w:type="dxa" w:w="1800"/>
          </w:tcPr>
          <w:p>
            <w:r>
              <w:t>75.0%</w:t>
            </w:r>
          </w:p>
        </w:tc>
        <w:tc>
          <w:tcPr>
            <w:tcW w:type="dxa" w:w="1800"/>
          </w:tcPr>
          <w:p>
            <w:r>
              <w:t>85.0%</w:t>
            </w:r>
          </w:p>
        </w:tc>
        <w:tc>
          <w:tcPr>
            <w:tcW w:type="dxa" w:w="1800"/>
          </w:tcPr>
          <w:p>
            <w:r>
              <w:t>90.0%</w:t>
            </w:r>
          </w:p>
        </w:tc>
        <w:tc>
          <w:tcPr>
            <w:tcW w:type="dxa" w:w="1800"/>
          </w:tcPr>
          <w:p>
            <w:r>
              <w:t>95.0%</w:t>
            </w:r>
          </w:p>
        </w:tc>
      </w:tr>
      <w:tr>
        <w:tc>
          <w:tcPr>
            <w:tcW w:type="dxa" w:w="1800"/>
          </w:tcPr>
          <w:p>
            <w:r>
              <w:t>Gross Revenue (₹)</w:t>
            </w:r>
          </w:p>
        </w:tc>
        <w:tc>
          <w:tcPr>
            <w:tcW w:type="dxa" w:w="1800"/>
          </w:tcPr>
          <w:p>
            <w:r>
              <w:t>₹53,550,000</w:t>
            </w:r>
          </w:p>
        </w:tc>
        <w:tc>
          <w:tcPr>
            <w:tcW w:type="dxa" w:w="1800"/>
          </w:tcPr>
          <w:p>
            <w:r>
              <w:t>₹66,937,500</w:t>
            </w:r>
          </w:p>
        </w:tc>
        <w:tc>
          <w:tcPr>
            <w:tcW w:type="dxa" w:w="1800"/>
          </w:tcPr>
          <w:p>
            <w:r>
              <w:t>₹75,862,500</w:t>
            </w:r>
          </w:p>
        </w:tc>
        <w:tc>
          <w:tcPr>
            <w:tcW w:type="dxa" w:w="1800"/>
          </w:tcPr>
          <w:p>
            <w:r>
              <w:t>₹80,325,000</w:t>
            </w:r>
          </w:p>
        </w:tc>
        <w:tc>
          <w:tcPr>
            <w:tcW w:type="dxa" w:w="1800"/>
          </w:tcPr>
          <w:p>
            <w:r>
              <w:t>₹84,787,500</w:t>
            </w:r>
          </w:p>
        </w:tc>
      </w:tr>
      <w:tr>
        <w:tc>
          <w:tcPr>
            <w:tcW w:type="dxa" w:w="1800"/>
          </w:tcPr>
          <w:p>
            <w:r>
              <w:t>Total OPEX (₹)</w:t>
            </w:r>
          </w:p>
        </w:tc>
        <w:tc>
          <w:tcPr>
            <w:tcW w:type="dxa" w:w="1800"/>
          </w:tcPr>
          <w:p>
            <w:r>
              <w:t>₹33,339,500</w:t>
            </w:r>
          </w:p>
        </w:tc>
        <w:tc>
          <w:tcPr>
            <w:tcW w:type="dxa" w:w="1800"/>
          </w:tcPr>
          <w:p>
            <w:r>
              <w:t>₹40,849,475</w:t>
            </w:r>
          </w:p>
        </w:tc>
        <w:tc>
          <w:tcPr>
            <w:tcW w:type="dxa" w:w="1800"/>
          </w:tcPr>
          <w:p>
            <w:r>
              <w:t>₹45,931,105</w:t>
            </w:r>
          </w:p>
        </w:tc>
        <w:tc>
          <w:tcPr>
            <w:tcW w:type="dxa" w:w="1800"/>
          </w:tcPr>
          <w:p>
            <w:r>
              <w:t>₹48,584,879</w:t>
            </w:r>
          </w:p>
        </w:tc>
        <w:tc>
          <w:tcPr>
            <w:tcW w:type="dxa" w:w="1800"/>
          </w:tcPr>
          <w:p>
            <w:r>
              <w:t>₹51,249,435</w:t>
            </w:r>
          </w:p>
        </w:tc>
      </w:tr>
      <w:tr>
        <w:tc>
          <w:tcPr>
            <w:tcW w:type="dxa" w:w="1800"/>
          </w:tcPr>
          <w:p>
            <w:r>
              <w:t>PAT (Net Profit) (₹)</w:t>
            </w:r>
          </w:p>
        </w:tc>
        <w:tc>
          <w:tcPr>
            <w:tcW w:type="dxa" w:w="1800"/>
          </w:tcPr>
          <w:p>
            <w:r>
              <w:t>₹13,612,875</w:t>
            </w:r>
          </w:p>
        </w:tc>
        <w:tc>
          <w:tcPr>
            <w:tcW w:type="dxa" w:w="1800"/>
          </w:tcPr>
          <w:p>
            <w:r>
              <w:t>₹18,157,519</w:t>
            </w:r>
          </w:p>
        </w:tc>
        <w:tc>
          <w:tcPr>
            <w:tcW w:type="dxa" w:w="1800"/>
          </w:tcPr>
          <w:p>
            <w:r>
              <w:t>₹21,176,546</w:t>
            </w:r>
          </w:p>
        </w:tc>
        <w:tc>
          <w:tcPr>
            <w:tcW w:type="dxa" w:w="1800"/>
          </w:tcPr>
          <w:p>
            <w:r>
              <w:t>₹22,669,591</w:t>
            </w:r>
          </w:p>
        </w:tc>
        <w:tc>
          <w:tcPr>
            <w:tcW w:type="dxa" w:w="1800"/>
          </w:tcPr>
          <w:p>
            <w:r>
              <w:t>₹24,154,548</w:t>
            </w:r>
          </w:p>
        </w:tc>
      </w:tr>
      <w:tr>
        <w:tc>
          <w:tcPr>
            <w:tcW w:type="dxa" w:w="1800"/>
          </w:tcPr>
          <w:p>
            <w:r>
              <w:t>DSCR Ratio</w:t>
            </w:r>
          </w:p>
        </w:tc>
        <w:tc>
          <w:tcPr>
            <w:tcW w:type="dxa" w:w="1800"/>
          </w:tcPr>
          <w:p>
            <w:r>
              <w:t>5.74</w:t>
            </w:r>
          </w:p>
        </w:tc>
        <w:tc>
          <w:tcPr>
            <w:tcW w:type="dxa" w:w="1800"/>
          </w:tcPr>
          <w:p>
            <w:r>
              <w:t>7.86</w:t>
            </w:r>
          </w:p>
        </w:tc>
        <w:tc>
          <w:tcPr>
            <w:tcW w:type="dxa" w:w="1800"/>
          </w:tcPr>
          <w:p>
            <w:r>
              <w:t>9.67</w:t>
            </w:r>
          </w:p>
        </w:tc>
        <w:tc>
          <w:tcPr>
            <w:tcW w:type="dxa" w:w="1800"/>
          </w:tcPr>
          <w:p>
            <w:r>
              <w:t>11.07</w:t>
            </w:r>
          </w:p>
        </w:tc>
        <w:tc>
          <w:tcPr>
            <w:tcW w:type="dxa" w:w="1800"/>
          </w:tcPr>
          <w:p>
            <w:r>
              <w:t>12.73</w:t>
            </w:r>
          </w:p>
        </w:tc>
      </w:tr>
    </w:tbl>
    <w:p>
      <w:pPr>
        <w:pStyle w:val="Heading1"/>
      </w:pPr>
      <w:r>
        <w:t>4.0 Graphical Financial Projections &amp; Analysis</w:t>
      </w:r>
    </w:p>
    <w:p>
      <w:r>
        <w:t>Chart: Revenue Ebitda</w:t>
      </w:r>
    </w:p>
    <w:p>
      <w:r>
        <w:drawing>
          <wp:inline xmlns:a="http://schemas.openxmlformats.org/drawingml/2006/main" xmlns:pic="http://schemas.openxmlformats.org/drawingml/2006/picture">
            <wp:extent cx="5029200" cy="24075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v_ebitda_job_876c8ff9df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40759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Capex Pie</w:t>
      </w:r>
    </w:p>
    <w:p>
      <w:r>
        <w:drawing>
          <wp:inline xmlns:a="http://schemas.openxmlformats.org/drawingml/2006/main" xmlns:pic="http://schemas.openxmlformats.org/drawingml/2006/picture">
            <wp:extent cx="5029200" cy="294050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pex_pie_job_876c8ff9d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94050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Finance Pie</w:t>
      </w:r>
    </w:p>
    <w:p>
      <w:r>
        <w:drawing>
          <wp:inline xmlns:a="http://schemas.openxmlformats.org/drawingml/2006/main" xmlns:pic="http://schemas.openxmlformats.org/drawingml/2006/picture">
            <wp:extent cx="5029200" cy="3031958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ance_pie_job_876c8ff9df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0319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Chart: Dscr Curve</w:t>
      </w:r>
    </w:p>
    <w:p>
      <w:r>
        <w:drawing>
          <wp:inline xmlns:a="http://schemas.openxmlformats.org/drawingml/2006/main" xmlns:pic="http://schemas.openxmlformats.org/drawingml/2006/picture">
            <wp:extent cx="5029200" cy="219358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cr_curve_job_876c8ff9df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93587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  <w:pgBorders>
        <w:top w:val="single" w:sz="12" w:space="24" w:color="0F172A"/>
        <w:left w:val="single" w:sz="12" w:space="24" w:color="0F172A"/>
        <w:bottom w:val="single" w:sz="12" w:space="24" w:color="0F172A"/>
        <w:right w:val="single" w:sz="12" w:space="24" w:color="0F172A"/>
      </w:pgBorders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