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FINANCIAL PROJECTIONS &amp; CHARTS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Financial Projections &amp; Charts Unit is a commercial enterprise located in Bengaluru Urban, Karnataka. The total project cost is estimated at ₹15,152,000.00, funded by promoter contribution of ₹8,700,000.00 and bank loan of ₹20,500,000.00. The project features an average 5-year DSCR of 2.09 and break-even point of 56.6%.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₹15,152,000.00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2.09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₹15,152,000.00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₹30,600,000</w:t>
            </w:r>
          </w:p>
        </w:tc>
        <w:tc>
          <w:tcPr>
            <w:tcW w:type="dxa" w:w="1680"/>
          </w:tcPr>
          <w:p>
            <w:r>
              <w:t>₹38,250,000</w:t>
            </w:r>
          </w:p>
        </w:tc>
        <w:tc>
          <w:tcPr>
            <w:tcW w:type="dxa" w:w="1680"/>
          </w:tcPr>
          <w:p>
            <w:r>
              <w:t>₹43,350,000</w:t>
            </w:r>
          </w:p>
        </w:tc>
        <w:tc>
          <w:tcPr>
            <w:tcW w:type="dxa" w:w="1680"/>
          </w:tcPr>
          <w:p>
            <w:r>
              <w:t>₹45,900,000</w:t>
            </w:r>
          </w:p>
        </w:tc>
        <w:tc>
          <w:tcPr>
            <w:tcW w:type="dxa" w:w="1680"/>
          </w:tcPr>
          <w:p>
            <w:r>
              <w:t>₹48,450,000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₹21,373,600</w:t>
            </w:r>
          </w:p>
        </w:tc>
        <w:tc>
          <w:tcPr>
            <w:tcW w:type="dxa" w:w="1680"/>
          </w:tcPr>
          <w:p>
            <w:r>
              <w:t>₹25,784,500</w:t>
            </w:r>
          </w:p>
        </w:tc>
        <w:tc>
          <w:tcPr>
            <w:tcW w:type="dxa" w:w="1680"/>
          </w:tcPr>
          <w:p>
            <w:r>
              <w:t>₹28,810,200</w:t>
            </w:r>
          </w:p>
        </w:tc>
        <w:tc>
          <w:tcPr>
            <w:tcW w:type="dxa" w:w="1680"/>
          </w:tcPr>
          <w:p>
            <w:r>
              <w:t>₹30,451,255</w:t>
            </w:r>
          </w:p>
        </w:tc>
        <w:tc>
          <w:tcPr>
            <w:tcW w:type="dxa" w:w="1680"/>
          </w:tcPr>
          <w:p>
            <w:r>
              <w:t>₹32,104,548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₹4,504,800</w:t>
            </w:r>
          </w:p>
        </w:tc>
        <w:tc>
          <w:tcPr>
            <w:tcW w:type="dxa" w:w="1680"/>
          </w:tcPr>
          <w:p>
            <w:r>
              <w:t>₹7,241,625</w:t>
            </w:r>
          </w:p>
        </w:tc>
        <w:tc>
          <w:tcPr>
            <w:tcW w:type="dxa" w:w="1680"/>
          </w:tcPr>
          <w:p>
            <w:r>
              <w:t>₹9,104,850</w:t>
            </w:r>
          </w:p>
        </w:tc>
        <w:tc>
          <w:tcPr>
            <w:tcW w:type="dxa" w:w="1680"/>
          </w:tcPr>
          <w:p>
            <w:r>
              <w:t>₹10,094,059</w:t>
            </w:r>
          </w:p>
        </w:tc>
        <w:tc>
          <w:tcPr>
            <w:tcW w:type="dxa" w:w="1680"/>
          </w:tcPr>
          <w:p>
            <w:r>
              <w:t>₹11,074,089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1.26</w:t>
            </w:r>
          </w:p>
        </w:tc>
        <w:tc>
          <w:tcPr>
            <w:tcW w:type="dxa" w:w="1680"/>
          </w:tcPr>
          <w:p>
            <w:r>
              <w:t>1.75</w:t>
            </w:r>
          </w:p>
        </w:tc>
        <w:tc>
          <w:tcPr>
            <w:tcW w:type="dxa" w:w="1680"/>
          </w:tcPr>
          <w:p>
            <w:r>
              <w:t>2.16</w:t>
            </w:r>
          </w:p>
        </w:tc>
        <w:tc>
          <w:tcPr>
            <w:tcW w:type="dxa" w:w="1680"/>
          </w:tcPr>
          <w:p>
            <w:r>
              <w:t>2.46</w:t>
            </w:r>
          </w:p>
        </w:tc>
        <w:tc>
          <w:tcPr>
            <w:tcW w:type="dxa" w:w="1680"/>
          </w:tcPr>
          <w:p>
            <w:r>
              <w:t>2.81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70c21197c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547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70c21197c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816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70c21197c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06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70c21197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68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