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MULTI COLOR FINANCIAL CHARTS UNIT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Multi Color Financial Charts Unit is a commercial enterprise located in Bengaluru Urban, Karnataka. The total project cost is estimated at ₹17,960,000.00, funded by promoter contribution of ₹8,700,000.00 and bank loan of ₹20,500,000.00. The project features an average 5-year DSCR of 3.07 and break-even point of 43.9%.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₹17,960,000.00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₹8,700,000.00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₹20,500,000.00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3.07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₹17,960,000.00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₹42,750,000</w:t>
            </w:r>
          </w:p>
        </w:tc>
        <w:tc>
          <w:tcPr>
            <w:tcW w:type="dxa" w:w="1680"/>
          </w:tcPr>
          <w:p>
            <w:r>
              <w:t>₹53,437,500</w:t>
            </w:r>
          </w:p>
        </w:tc>
        <w:tc>
          <w:tcPr>
            <w:tcW w:type="dxa" w:w="1680"/>
          </w:tcPr>
          <w:p>
            <w:r>
              <w:t>₹60,562,500</w:t>
            </w:r>
          </w:p>
        </w:tc>
        <w:tc>
          <w:tcPr>
            <w:tcW w:type="dxa" w:w="1680"/>
          </w:tcPr>
          <w:p>
            <w:r>
              <w:t>₹64,125,000</w:t>
            </w:r>
          </w:p>
        </w:tc>
        <w:tc>
          <w:tcPr>
            <w:tcW w:type="dxa" w:w="1680"/>
          </w:tcPr>
          <w:p>
            <w:r>
              <w:t>₹67,687,500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₹28,575,500</w:t>
            </w:r>
          </w:p>
        </w:tc>
        <w:tc>
          <w:tcPr>
            <w:tcW w:type="dxa" w:w="1680"/>
          </w:tcPr>
          <w:p>
            <w:r>
              <w:t>₹34,773,875</w:t>
            </w:r>
          </w:p>
        </w:tc>
        <w:tc>
          <w:tcPr>
            <w:tcW w:type="dxa" w:w="1680"/>
          </w:tcPr>
          <w:p>
            <w:r>
              <w:t>₹38,991,225</w:t>
            </w:r>
          </w:p>
        </w:tc>
        <w:tc>
          <w:tcPr>
            <w:tcW w:type="dxa" w:w="1680"/>
          </w:tcPr>
          <w:p>
            <w:r>
              <w:t>₹41,228,105</w:t>
            </w:r>
          </w:p>
        </w:tc>
        <w:tc>
          <w:tcPr>
            <w:tcW w:type="dxa" w:w="1680"/>
          </w:tcPr>
          <w:p>
            <w:r>
              <w:t>₹43,477,223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₹7,923,375</w:t>
            </w:r>
          </w:p>
        </w:tc>
        <w:tc>
          <w:tcPr>
            <w:tcW w:type="dxa" w:w="1680"/>
          </w:tcPr>
          <w:p>
            <w:r>
              <w:t>₹11,597,719</w:t>
            </w:r>
          </w:p>
        </w:tc>
        <w:tc>
          <w:tcPr>
            <w:tcW w:type="dxa" w:w="1680"/>
          </w:tcPr>
          <w:p>
            <w:r>
              <w:t>₹14,085,956</w:t>
            </w:r>
          </w:p>
        </w:tc>
        <w:tc>
          <w:tcPr>
            <w:tcW w:type="dxa" w:w="1680"/>
          </w:tcPr>
          <w:p>
            <w:r>
              <w:t>₹15,387,671</w:t>
            </w:r>
          </w:p>
        </w:tc>
        <w:tc>
          <w:tcPr>
            <w:tcW w:type="dxa" w:w="1680"/>
          </w:tcPr>
          <w:p>
            <w:r>
              <w:t>₹16,680,208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1.88</w:t>
            </w:r>
          </w:p>
        </w:tc>
        <w:tc>
          <w:tcPr>
            <w:tcW w:type="dxa" w:w="1680"/>
          </w:tcPr>
          <w:p>
            <w:r>
              <w:t>2.58</w:t>
            </w:r>
          </w:p>
        </w:tc>
        <w:tc>
          <w:tcPr>
            <w:tcW w:type="dxa" w:w="1680"/>
          </w:tcPr>
          <w:p>
            <w:r>
              <w:t>3.17</w:t>
            </w:r>
          </w:p>
        </w:tc>
        <w:tc>
          <w:tcPr>
            <w:tcW w:type="dxa" w:w="1680"/>
          </w:tcPr>
          <w:p>
            <w:r>
              <w:t>3.61</w:t>
            </w:r>
          </w:p>
        </w:tc>
        <w:tc>
          <w:tcPr>
            <w:tcW w:type="dxa" w:w="1680"/>
          </w:tcPr>
          <w:p>
            <w:r>
              <w:t>4.14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e33e1709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e33e1709d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e33e1709d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e33e1709d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