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172A"/>
          <w:sz w:val="28"/>
        </w:rPr>
        <w:t>VISION KARNATAKA FOUNDATION</w:t>
        <w:br/>
      </w:r>
      <w:r>
        <w:rPr>
          <w:b/>
          <w:color w:val="1E293B"/>
          <w:sz w:val="36"/>
        </w:rPr>
        <w:t>DETAILED PROJECT REPORT (DPR)</w:t>
        <w:br/>
        <w:t>OFFLINE MSME UNIT (NO WEBSITE)</w:t>
        <w:br/>
      </w:r>
      <w:r>
        <w:rPr>
          <w:color w:val="64748B"/>
          <w:sz w:val="20"/>
        </w:rPr>
        <w:t>DPR Track: DPRTypeEnum.BANK_LOAN | Depth: STANDARD</w:t>
        <w:br/>
        <w:t>Location: Mysuru, Karnataka</w:t>
        <w:br/>
      </w:r>
    </w:p>
    <w:p>
      <w:pPr>
        <w:pStyle w:val="Heading1"/>
      </w:pPr>
      <w:r>
        <w:t>1.0 Executive Summary &amp; Project Highlights</w:t>
      </w:r>
    </w:p>
    <w:p>
      <w:r>
        <w:t>Offline MSME Unit (No Website) is a commercial enterprise located in Mysuru, Karnataka. The total project cost is estimated at ₹7,692,000.00, funded by promoter contribution of ₹1,600,000.00 and bank loan of ₹3,900,000.00. The project features an average 5-year DSCR of 13.46 and break-even point of 25.0%.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t>Total Project Cost</w:t>
            </w:r>
          </w:p>
        </w:tc>
        <w:tc>
          <w:tcPr>
            <w:tcW w:type="dxa" w:w="5400"/>
          </w:tcPr>
          <w:p>
            <w:r>
              <w:t>₹7,692,000.00</w:t>
            </w:r>
          </w:p>
        </w:tc>
      </w:tr>
      <w:tr>
        <w:tc>
          <w:tcPr>
            <w:tcW w:type="dxa" w:w="5400"/>
          </w:tcPr>
          <w:p>
            <w:r>
              <w:t>Promoter Equity Contribution</w:t>
            </w:r>
          </w:p>
        </w:tc>
        <w:tc>
          <w:tcPr>
            <w:tcW w:type="dxa" w:w="5400"/>
          </w:tcPr>
          <w:p>
            <w:r>
              <w:t>₹1,600,000.00</w:t>
            </w:r>
          </w:p>
        </w:tc>
      </w:tr>
      <w:tr>
        <w:tc>
          <w:tcPr>
            <w:tcW w:type="dxa" w:w="5400"/>
          </w:tcPr>
          <w:p>
            <w:r>
              <w:t>Proposed Bank Loan</w:t>
            </w:r>
          </w:p>
        </w:tc>
        <w:tc>
          <w:tcPr>
            <w:tcW w:type="dxa" w:w="5400"/>
          </w:tcPr>
          <w:p>
            <w:r>
              <w:t>₹3,900,000.00</w:t>
            </w:r>
          </w:p>
        </w:tc>
      </w:tr>
      <w:tr>
        <w:tc>
          <w:tcPr>
            <w:tcW w:type="dxa" w:w="5400"/>
          </w:tcPr>
          <w:p>
            <w:r>
              <w:t>Government Subsidy Claim</w:t>
            </w:r>
          </w:p>
        </w:tc>
        <w:tc>
          <w:tcPr>
            <w:tcW w:type="dxa" w:w="5400"/>
          </w:tcPr>
          <w:p>
            <w:r>
              <w:t>₹0.00</w:t>
            </w:r>
          </w:p>
        </w:tc>
      </w:tr>
      <w:tr>
        <w:tc>
          <w:tcPr>
            <w:tcW w:type="dxa" w:w="5400"/>
          </w:tcPr>
          <w:p>
            <w:r>
              <w:t>Average 5-Year DSCR</w:t>
            </w:r>
          </w:p>
        </w:tc>
        <w:tc>
          <w:tcPr>
            <w:tcW w:type="dxa" w:w="5400"/>
          </w:tcPr>
          <w:p>
            <w:r>
              <w:t>13.46</w:t>
            </w:r>
          </w:p>
        </w:tc>
      </w:tr>
    </w:tbl>
    <w:p>
      <w:pPr>
        <w:pStyle w:val="Heading1"/>
      </w:pPr>
      <w:r>
        <w:t>2.0 Cost of Project &amp; Means of Finance</w:t>
      </w:r>
    </w:p>
    <w:p>
      <w:r>
        <w:t>Land &amp; Site Development: ₹1,200,000.00</w:t>
        <w:br/>
        <w:t>Building &amp; Civil Works: ₹2,200,000.00</w:t>
        <w:br/>
        <w:t>Furniture &amp; Fixtures: ₹300,000.00</w:t>
        <w:br/>
        <w:t>Working Capital Margin: ₹1,000,000.00</w:t>
        <w:br/>
        <w:t>Total Capital Outlay: ₹7,692,000.00</w:t>
      </w:r>
    </w:p>
    <w:p>
      <w:pPr>
        <w:pStyle w:val="Heading1"/>
      </w:pPr>
      <w:r>
        <w:t>3.0 5-Year Projected Income Statement (P&amp;L)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</w:tcPr>
          <w:p>
            <w:r>
              <w:t>Metric</w:t>
            </w:r>
          </w:p>
        </w:tc>
        <w:tc>
          <w:tcPr>
            <w:tcW w:type="dxa" w:w="1800"/>
          </w:tcPr>
          <w:p>
            <w:r>
              <w:t>Year 1</w:t>
            </w:r>
          </w:p>
        </w:tc>
        <w:tc>
          <w:tcPr>
            <w:tcW w:type="dxa" w:w="1800"/>
          </w:tcPr>
          <w:p>
            <w:r>
              <w:t>Year 2</w:t>
            </w:r>
          </w:p>
        </w:tc>
        <w:tc>
          <w:tcPr>
            <w:tcW w:type="dxa" w:w="1800"/>
          </w:tcPr>
          <w:p>
            <w:r>
              <w:t>Year 3</w:t>
            </w:r>
          </w:p>
        </w:tc>
        <w:tc>
          <w:tcPr>
            <w:tcW w:type="dxa" w:w="1800"/>
          </w:tcPr>
          <w:p>
            <w:r>
              <w:t>Year 4</w:t>
            </w:r>
          </w:p>
        </w:tc>
        <w:tc>
          <w:tcPr>
            <w:tcW w:type="dxa" w:w="1800"/>
          </w:tcPr>
          <w:p>
            <w:r>
              <w:t>Year 5</w:t>
            </w:r>
          </w:p>
        </w:tc>
      </w:tr>
      <w:tr>
        <w:tc>
          <w:tcPr>
            <w:tcW w:type="dxa" w:w="1800"/>
          </w:tcPr>
          <w:p>
            <w:r>
              <w:t>Capacity Utilization %</w:t>
            </w:r>
          </w:p>
        </w:tc>
        <w:tc>
          <w:tcPr>
            <w:tcW w:type="dxa" w:w="1800"/>
          </w:tcPr>
          <w:p>
            <w:r>
              <w:t>60.0%</w:t>
            </w:r>
          </w:p>
        </w:tc>
        <w:tc>
          <w:tcPr>
            <w:tcW w:type="dxa" w:w="1800"/>
          </w:tcPr>
          <w:p>
            <w:r>
              <w:t>75.0%</w:t>
            </w:r>
          </w:p>
        </w:tc>
        <w:tc>
          <w:tcPr>
            <w:tcW w:type="dxa" w:w="1800"/>
          </w:tcPr>
          <w:p>
            <w:r>
              <w:t>85.0%</w:t>
            </w:r>
          </w:p>
        </w:tc>
        <w:tc>
          <w:tcPr>
            <w:tcW w:type="dxa" w:w="1800"/>
          </w:tcPr>
          <w:p>
            <w:r>
              <w:t>90.0%</w:t>
            </w:r>
          </w:p>
        </w:tc>
        <w:tc>
          <w:tcPr>
            <w:tcW w:type="dxa" w:w="1800"/>
          </w:tcPr>
          <w:p>
            <w:r>
              <w:t>95.0%</w:t>
            </w:r>
          </w:p>
        </w:tc>
      </w:tr>
      <w:tr>
        <w:tc>
          <w:tcPr>
            <w:tcW w:type="dxa" w:w="1800"/>
          </w:tcPr>
          <w:p>
            <w:r>
              <w:t>Gross Revenue (₹)</w:t>
            </w:r>
          </w:p>
        </w:tc>
        <w:tc>
          <w:tcPr>
            <w:tcW w:type="dxa" w:w="1800"/>
          </w:tcPr>
          <w:p>
            <w:r>
              <w:t>₹32,400,000</w:t>
            </w:r>
          </w:p>
        </w:tc>
        <w:tc>
          <w:tcPr>
            <w:tcW w:type="dxa" w:w="1800"/>
          </w:tcPr>
          <w:p>
            <w:r>
              <w:t>₹40,500,000</w:t>
            </w:r>
          </w:p>
        </w:tc>
        <w:tc>
          <w:tcPr>
            <w:tcW w:type="dxa" w:w="1800"/>
          </w:tcPr>
          <w:p>
            <w:r>
              <w:t>₹45,900,000</w:t>
            </w:r>
          </w:p>
        </w:tc>
        <w:tc>
          <w:tcPr>
            <w:tcW w:type="dxa" w:w="1800"/>
          </w:tcPr>
          <w:p>
            <w:r>
              <w:t>₹48,600,000</w:t>
            </w:r>
          </w:p>
        </w:tc>
        <w:tc>
          <w:tcPr>
            <w:tcW w:type="dxa" w:w="1800"/>
          </w:tcPr>
          <w:p>
            <w:r>
              <w:t>₹51,300,000</w:t>
            </w:r>
          </w:p>
        </w:tc>
      </w:tr>
      <w:tr>
        <w:tc>
          <w:tcPr>
            <w:tcW w:type="dxa" w:w="1800"/>
          </w:tcPr>
          <w:p>
            <w:r>
              <w:t>Total OPEX (₹)</w:t>
            </w:r>
          </w:p>
        </w:tc>
        <w:tc>
          <w:tcPr>
            <w:tcW w:type="dxa" w:w="1800"/>
          </w:tcPr>
          <w:p>
            <w:r>
              <w:t>₹19,877,600</w:t>
            </w:r>
          </w:p>
        </w:tc>
        <w:tc>
          <w:tcPr>
            <w:tcW w:type="dxa" w:w="1800"/>
          </w:tcPr>
          <w:p>
            <w:r>
              <w:t>₹24,370,400</w:t>
            </w:r>
          </w:p>
        </w:tc>
        <w:tc>
          <w:tcPr>
            <w:tcW w:type="dxa" w:w="1800"/>
          </w:tcPr>
          <w:p>
            <w:r>
              <w:t>₹27,409,070</w:t>
            </w:r>
          </w:p>
        </w:tc>
        <w:tc>
          <w:tcPr>
            <w:tcW w:type="dxa" w:w="1800"/>
          </w:tcPr>
          <w:p>
            <w:r>
              <w:t>₹28,993,894</w:t>
            </w:r>
          </w:p>
        </w:tc>
        <w:tc>
          <w:tcPr>
            <w:tcW w:type="dxa" w:w="1800"/>
          </w:tcPr>
          <w:p>
            <w:r>
              <w:t>₹30,584,968</w:t>
            </w:r>
          </w:p>
        </w:tc>
      </w:tr>
      <w:tr>
        <w:tc>
          <w:tcPr>
            <w:tcW w:type="dxa" w:w="1800"/>
          </w:tcPr>
          <w:p>
            <w:r>
              <w:t>PAT (Net Profit) (₹)</w:t>
            </w:r>
          </w:p>
        </w:tc>
        <w:tc>
          <w:tcPr>
            <w:tcW w:type="dxa" w:w="1800"/>
          </w:tcPr>
          <w:p>
            <w:r>
              <w:t>₹8,634,488</w:t>
            </w:r>
          </w:p>
        </w:tc>
        <w:tc>
          <w:tcPr>
            <w:tcW w:type="dxa" w:w="1800"/>
          </w:tcPr>
          <w:p>
            <w:r>
              <w:t>₹11,399,850</w:t>
            </w:r>
          </w:p>
        </w:tc>
        <w:tc>
          <w:tcPr>
            <w:tcW w:type="dxa" w:w="1800"/>
          </w:tcPr>
          <w:p>
            <w:r>
              <w:t>₹13,230,810</w:t>
            </w:r>
          </w:p>
        </w:tc>
        <w:tc>
          <w:tcPr>
            <w:tcW w:type="dxa" w:w="1800"/>
          </w:tcPr>
          <w:p>
            <w:r>
              <w:t>₹14,127,155</w:t>
            </w:r>
          </w:p>
        </w:tc>
        <w:tc>
          <w:tcPr>
            <w:tcW w:type="dxa" w:w="1800"/>
          </w:tcPr>
          <w:p>
            <w:r>
              <w:t>₹15,018,811</w:t>
            </w:r>
          </w:p>
        </w:tc>
      </w:tr>
      <w:tr>
        <w:tc>
          <w:tcPr>
            <w:tcW w:type="dxa" w:w="1800"/>
          </w:tcPr>
          <w:p>
            <w:r>
              <w:t>DSCR Ratio</w:t>
            </w:r>
          </w:p>
        </w:tc>
        <w:tc>
          <w:tcPr>
            <w:tcW w:type="dxa" w:w="1800"/>
          </w:tcPr>
          <w:p>
            <w:r>
              <w:t>8.17</w:t>
            </w:r>
          </w:p>
        </w:tc>
        <w:tc>
          <w:tcPr>
            <w:tcW w:type="dxa" w:w="1800"/>
          </w:tcPr>
          <w:p>
            <w:r>
              <w:t>11.21</w:t>
            </w:r>
          </w:p>
        </w:tc>
        <w:tc>
          <w:tcPr>
            <w:tcW w:type="dxa" w:w="1800"/>
          </w:tcPr>
          <w:p>
            <w:r>
              <w:t>13.81</w:t>
            </w:r>
          </w:p>
        </w:tc>
        <w:tc>
          <w:tcPr>
            <w:tcW w:type="dxa" w:w="1800"/>
          </w:tcPr>
          <w:p>
            <w:r>
              <w:t>15.85</w:t>
            </w:r>
          </w:p>
        </w:tc>
        <w:tc>
          <w:tcPr>
            <w:tcW w:type="dxa" w:w="1800"/>
          </w:tcPr>
          <w:p>
            <w:r>
              <w:t>18.27</w:t>
            </w:r>
          </w:p>
        </w:tc>
      </w:tr>
    </w:tbl>
    <w:p>
      <w:pPr>
        <w:pStyle w:val="Heading1"/>
      </w:pPr>
      <w:r>
        <w:t>4.0 Graphical Financial Projections &amp; Analysis</w:t>
      </w:r>
    </w:p>
    <w:p>
      <w:r>
        <w:t>Chart: Revenue Ebitda</w:t>
      </w:r>
    </w:p>
    <w:p>
      <w:r>
        <w:drawing>
          <wp:inline xmlns:a="http://schemas.openxmlformats.org/drawingml/2006/main" xmlns:pic="http://schemas.openxmlformats.org/drawingml/2006/picture">
            <wp:extent cx="5029200" cy="240759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v_ebitda_job_8f897804e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075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Chart: Capex Pie</w:t>
      </w:r>
    </w:p>
    <w:p>
      <w:r>
        <w:drawing>
          <wp:inline xmlns:a="http://schemas.openxmlformats.org/drawingml/2006/main" xmlns:pic="http://schemas.openxmlformats.org/drawingml/2006/picture">
            <wp:extent cx="5029200" cy="294050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ex_pie_job_8f897804e6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405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Chart: Finance Pie</w:t>
      </w:r>
    </w:p>
    <w:p>
      <w:r>
        <w:drawing>
          <wp:inline xmlns:a="http://schemas.openxmlformats.org/drawingml/2006/main" xmlns:pic="http://schemas.openxmlformats.org/drawingml/2006/picture">
            <wp:extent cx="5029200" cy="303195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nce_pie_job_8f897804e6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319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Chart: Dscr Curve</w:t>
      </w:r>
    </w:p>
    <w:p>
      <w:r>
        <w:drawing>
          <wp:inline xmlns:a="http://schemas.openxmlformats.org/drawingml/2006/main" xmlns:pic="http://schemas.openxmlformats.org/drawingml/2006/picture">
            <wp:extent cx="5029200" cy="219358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cr_curve_job_8f897804e6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93587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  <w:pgBorders>
        <w:top w:val="single" w:sz="12" w:space="24" w:color="0F172A"/>
        <w:left w:val="single" w:sz="12" w:space="24" w:color="0F172A"/>
        <w:bottom w:val="single" w:sz="12" w:space="24" w:color="0F172A"/>
        <w:right w:val="single" w:sz="12" w:space="24" w:color="0F172A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