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  <w:sz w:val="28"/>
        </w:rPr>
        <w:t>VISION KARNATAKA FOUNDATION</w:t>
        <w:br/>
      </w:r>
      <w:r>
        <w:rPr>
          <w:b/>
          <w:color w:val="123B4A"/>
          <w:sz w:val="36"/>
        </w:rPr>
        <w:t>DETAILED PROJECT REPORT (DPR)</w:t>
        <w:br/>
        <w:t>PRECISION ROBOTICS &amp; AUTOMATION PVT LTD</w:t>
        <w:br/>
      </w:r>
      <w:r>
        <w:rPr>
          <w:color w:val="64748B"/>
          <w:sz w:val="20"/>
        </w:rPr>
        <w:t>DPR Track: DPRTypeEnum.BANK_LOAN | Depth: DETAILED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Precision Robotics &amp; Automation Pvt Ltd is a commercial enterprise located in Bengaluru Urban, Karnataka. The total project cost is estimated at ₹22,280,000.00, funded by promoter contribution of ₹7,000,000.00 and bank loan of ₹21,000,000.00. The project features an average 5-year DSCR of 13.15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₹22,280,000.00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₹7,000,000.00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₹21,000,000.00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13.15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₹22,280,000.00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₹90,661,000</w:t>
            </w:r>
          </w:p>
        </w:tc>
        <w:tc>
          <w:tcPr>
            <w:tcW w:type="dxa" w:w="1680"/>
          </w:tcPr>
          <w:p>
            <w:r>
              <w:t>₹111,206,350</w:t>
            </w:r>
          </w:p>
        </w:tc>
        <w:tc>
          <w:tcPr>
            <w:tcW w:type="dxa" w:w="1680"/>
          </w:tcPr>
          <w:p>
            <w:r>
              <w:t>₹125,098,980</w:t>
            </w:r>
          </w:p>
        </w:tc>
        <w:tc>
          <w:tcPr>
            <w:tcW w:type="dxa" w:w="1680"/>
          </w:tcPr>
          <w:p>
            <w:r>
              <w:t>₹132,340,166</w:t>
            </w:r>
          </w:p>
        </w:tc>
        <w:tc>
          <w:tcPr>
            <w:tcW w:type="dxa" w:w="1680"/>
          </w:tcPr>
          <w:p>
            <w:r>
              <w:t>₹139,609,500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₹46,855,500</w:t>
            </w:r>
          </w:p>
        </w:tc>
        <w:tc>
          <w:tcPr>
            <w:tcW w:type="dxa" w:w="1680"/>
          </w:tcPr>
          <w:p>
            <w:r>
              <w:t>₹61,308,488</w:t>
            </w:r>
          </w:p>
        </w:tc>
        <w:tc>
          <w:tcPr>
            <w:tcW w:type="dxa" w:w="1680"/>
          </w:tcPr>
          <w:p>
            <w:r>
              <w:t>₹70,907,265</w:t>
            </w:r>
          </w:p>
        </w:tc>
        <w:tc>
          <w:tcPr>
            <w:tcW w:type="dxa" w:w="1680"/>
          </w:tcPr>
          <w:p>
            <w:r>
              <w:t>₹75,650,875</w:t>
            </w:r>
          </w:p>
        </w:tc>
        <w:tc>
          <w:tcPr>
            <w:tcW w:type="dxa" w:w="1680"/>
          </w:tcPr>
          <w:p>
            <w:r>
              <w:t>₹80,373,375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8.0</w:t>
            </w:r>
          </w:p>
        </w:tc>
        <w:tc>
          <w:tcPr>
            <w:tcW w:type="dxa" w:w="1680"/>
          </w:tcPr>
          <w:p>
            <w:r>
              <w:t>10.94</w:t>
            </w:r>
          </w:p>
        </w:tc>
        <w:tc>
          <w:tcPr>
            <w:tcW w:type="dxa" w:w="1680"/>
          </w:tcPr>
          <w:p>
            <w:r>
              <w:t>13.47</w:t>
            </w:r>
          </w:p>
        </w:tc>
        <w:tc>
          <w:tcPr>
            <w:tcW w:type="dxa" w:w="1680"/>
          </w:tcPr>
          <w:p>
            <w:r>
              <w:t>15.48</w:t>
            </w:r>
          </w:p>
        </w:tc>
        <w:tc>
          <w:tcPr>
            <w:tcW w:type="dxa" w:w="1680"/>
          </w:tcPr>
          <w:p>
            <w:r>
              <w:t>17.88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696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dc48a895d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96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48948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dc48a895d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40013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dc48a895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13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