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pPr>
      <w:r>
        <w:rPr>
          <w:rFonts w:ascii="Arial" w:cs="Arial" w:eastAsia="Arial" w:hAnsi="Arial"/>
          <w:b/>
          <w:bCs/>
          <w:color w:val="1A56A0"/>
          <w:sz w:val="56"/>
          <w:szCs w:val="56"/>
        </w:rPr>
        <w:t xml:space="preserve">SaaS Churn &amp;</w:t>
      </w:r>
    </w:p>
    <w:p>
      <w:pPr>
        <w:spacing w:after="320" w:before="0"/>
      </w:pPr>
      <w:r>
        <w:rPr>
          <w:rFonts w:ascii="Arial" w:cs="Arial" w:eastAsia="Arial" w:hAnsi="Arial"/>
          <w:b/>
          <w:bCs/>
          <w:color w:val="1A1A1A"/>
          <w:sz w:val="56"/>
          <w:szCs w:val="56"/>
        </w:rPr>
        <w:t xml:space="preserve">Revenue Analytics</w:t>
      </w:r>
    </w:p>
    <w:p>
      <w:pPr>
        <w:spacing w:after="120" w:before="0"/>
      </w:pPr>
      <w:r>
        <w:rPr>
          <w:rFonts w:ascii="Arial" w:cs="Arial" w:eastAsia="Arial" w:hAnsi="Arial"/>
          <w:color w:val="555555"/>
          <w:sz w:val="28"/>
          <w:szCs w:val="28"/>
        </w:rPr>
        <w:t xml:space="preserve">Executive Intelligence Report</w:t>
      </w:r>
    </w:p>
    <w:p>
      <w:pPr>
        <w:spacing w:after="80" w:before="0"/>
      </w:pPr>
      <w:r>
        <w:rPr>
          <w:rFonts w:ascii="Arial" w:cs="Arial" w:eastAsia="Arial" w:hAnsi="Arial"/>
          <w:color w:val="555555"/>
          <w:sz w:val="22"/>
          <w:szCs w:val="22"/>
        </w:rPr>
        <w:t xml:space="preserve">TechFlow SaaS  ·  FY2023–2024  ·  Prepared by Ajay, Data Analyst</w:t>
      </w:r>
    </w:p>
    <w:p>
      <w:pPr>
        <w:spacing w:after="0" w:before="0"/>
      </w:pPr>
      <w:r>
        <w:t xml:space="preserve"/>
      </w:r>
    </w:p>
    <w:p>
      <w:pPr>
        <w:spacing w:after="0" w:before="0"/>
      </w:pPr>
      <w:r>
        <w:t xml:space="preserve"/>
      </w:r>
    </w:p>
    <w:p>
      <w:pPr>
        <w:pBdr>
          <w:bottom w:val="single" w:color="1A56A0" w:sz="12" w:space="4"/>
        </w:pBdr>
        <w:spacing w:after="80" w:before="0"/>
      </w:pPr>
      <w:r>
        <w:t xml:space="preserve"/>
      </w:r>
    </w:p>
    <w:p>
      <w:pPr>
        <w:spacing w:after="0" w:before="0"/>
      </w:pPr>
      <w:r>
        <w:t xml:space="preserve"/>
      </w:r>
    </w:p>
    <w:p>
      <w:pPr>
        <w:spacing w:after="80" w:before="80"/>
      </w:pPr>
      <w:r>
        <w:rPr>
          <w:rFonts w:ascii="Arial" w:cs="Arial" w:eastAsia="Arial" w:hAnsi="Arial"/>
          <w:color w:val="1A1A1A"/>
          <w:sz w:val="22"/>
          <w:szCs w:val="22"/>
        </w:rPr>
        <w:t xml:space="preserve">This report analyses customer churn and revenue patterns across 1,000 synthetic customers, 39,000+ product events, and 24 months of MRR data for TechFlow SaaS. It delivers data-backed recommendations using the SCR (Situation–Complication–Recommendation) consulting framework.</w:t>
      </w:r>
    </w:p>
    <w:p>
      <w:pPr>
        <w:spacing w:after="0" w:before="0"/>
      </w:pPr>
      <w:r>
        <w:t xml:space="preserve"/>
      </w:r>
    </w:p>
    <w:p>
      <w:r>
        <w:br w:type="page"/>
      </w:r>
    </w:p>
    <w:p>
      <w:pPr>
        <w:pStyle w:val="Heading1"/>
        <w:pBdr>
          <w:bottom w:val="single" w:color="1A56A0" w:sz="8" w:space="4"/>
        </w:pBdr>
        <w:spacing w:after="160" w:before="320"/>
      </w:pPr>
      <w:r>
        <w:rPr>
          <w:rFonts w:ascii="Arial" w:cs="Arial" w:eastAsia="Arial" w:hAnsi="Arial"/>
          <w:b/>
          <w:bCs/>
          <w:color w:val="1A1A1A"/>
          <w:sz w:val="32"/>
          <w:szCs w:val="32"/>
        </w:rPr>
        <w:t xml:space="preserve">1. Situation</w:t>
      </w:r>
    </w:p>
    <w:p>
      <w:pPr>
        <w:spacing w:after="80" w:before="80"/>
      </w:pPr>
      <w:r>
        <w:rPr>
          <w:rFonts w:ascii="Arial" w:cs="Arial" w:eastAsia="Arial" w:hAnsi="Arial"/>
          <w:color w:val="1A1A1A"/>
          <w:sz w:val="22"/>
          <w:szCs w:val="22"/>
        </w:rPr>
        <w:t xml:space="preserve">TechFlow SaaS operates a B2B subscription business serving 1,000 customers across four segments: SMB, Mid-Market, Enterprise, and Freemium. As of Q4 2024, the business generates $449,374 in total monthly recurring revenue (MRR) from 325 active customers.</w:t>
      </w:r>
    </w:p>
    <w:p>
      <w:pPr>
        <w:spacing w:after="0" w:before="0"/>
      </w:pPr>
      <w:r>
        <w:t xml:space="preserve"/>
      </w:r>
    </w:p>
    <w:p>
      <w:pPr>
        <w:pStyle w:val="Heading2"/>
        <w:spacing w:after="100" w:before="240"/>
      </w:pPr>
      <w:r>
        <w:rPr>
          <w:rFonts w:ascii="Arial" w:cs="Arial" w:eastAsia="Arial" w:hAnsi="Arial"/>
          <w:b/>
          <w:bCs/>
          <w:color w:val="1A56A0"/>
          <w:sz w:val="26"/>
          <w:szCs w:val="26"/>
        </w:rPr>
        <w:t xml:space="preserve">1.1 Key Performance Metrics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color w:val="555555"/>
                <w:sz w:val="20"/>
                <w:szCs w:val="20"/>
              </w:rPr>
              <w:t xml:space="preserve">Total Customers</w:t>
            </w:r>
          </w:p>
        </w:tc>
        <w:tc>
          <w:tcPr>
            <w:tcW w:type="dxa" w:w="4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1A1A"/>
                <w:sz w:val="20"/>
                <w:szCs w:val="20"/>
              </w:rPr>
              <w:t xml:space="preserve">1,000</w:t>
            </w:r>
          </w:p>
        </w:tc>
      </w:tr>
      <w:tr>
        <w:tc>
          <w:tcPr>
            <w:tcW w:type="dxa" w:w="45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color w:val="555555"/>
                <w:sz w:val="20"/>
                <w:szCs w:val="20"/>
              </w:rPr>
              <w:t xml:space="preserve">Active Customers</w:t>
            </w:r>
          </w:p>
        </w:tc>
        <w:tc>
          <w:tcPr>
            <w:tcW w:type="dxa" w:w="4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1A1A"/>
                <w:sz w:val="20"/>
                <w:szCs w:val="20"/>
              </w:rPr>
              <w:t xml:space="preserve">325</w:t>
            </w:r>
          </w:p>
        </w:tc>
      </w:tr>
      <w:tr>
        <w:tc>
          <w:tcPr>
            <w:tcW w:type="dxa" w:w="45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color w:val="555555"/>
                <w:sz w:val="20"/>
                <w:szCs w:val="20"/>
              </w:rPr>
              <w:t xml:space="preserve">Total MRR</w:t>
            </w:r>
          </w:p>
        </w:tc>
        <w:tc>
          <w:tcPr>
            <w:tcW w:type="dxa" w:w="4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1A1A"/>
                <w:sz w:val="20"/>
                <w:szCs w:val="20"/>
              </w:rPr>
              <w:t xml:space="preserve">$449,374</w:t>
            </w:r>
          </w:p>
        </w:tc>
      </w:tr>
      <w:tr>
        <w:tc>
          <w:tcPr>
            <w:tcW w:type="dxa" w:w="45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color w:val="555555"/>
                <w:sz w:val="20"/>
                <w:szCs w:val="20"/>
              </w:rPr>
              <w:t xml:space="preserve">Overall Churn Rate</w:t>
            </w:r>
          </w:p>
        </w:tc>
        <w:tc>
          <w:tcPr>
            <w:tcW w:type="dxa" w:w="4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1A1A"/>
                <w:sz w:val="20"/>
                <w:szCs w:val="20"/>
              </w:rPr>
              <w:t xml:space="preserve">67.5% (annual)</w:t>
            </w:r>
          </w:p>
        </w:tc>
      </w:tr>
      <w:tr>
        <w:tc>
          <w:tcPr>
            <w:tcW w:type="dxa" w:w="45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color w:val="555555"/>
                <w:sz w:val="20"/>
                <w:szCs w:val="20"/>
              </w:rPr>
              <w:t xml:space="preserve">Avg MRR / Customer</w:t>
            </w:r>
          </w:p>
        </w:tc>
        <w:tc>
          <w:tcPr>
            <w:tcW w:type="dxa" w:w="4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1A1A"/>
                <w:sz w:val="20"/>
                <w:szCs w:val="20"/>
              </w:rPr>
              <w:t xml:space="preserve">$1,383</w:t>
            </w:r>
          </w:p>
        </w:tc>
      </w:tr>
      <w:tr>
        <w:tc>
          <w:tcPr>
            <w:tcW w:type="dxa" w:w="4500"/>
            <w:tcBorders>
              <w:top w:val="single" w:color="DDDDDD" w:sz="1"/>
              <w:left w:val="single" w:color="DDDDDD" w:sz="1"/>
              <w:bottom w:val="single" w:color="DDDDDD" w:sz="1"/>
              <w:right w:val="single" w:color="DDDDDD" w:sz="1"/>
            </w:tcBorders>
            <w:shd w:fill="F4F4F4" w:val="clear"/>
            <w:tcMar>
              <w:top w:type="dxa" w:w="80"/>
              <w:left w:type="dxa" w:w="160"/>
              <w:bottom w:type="dxa" w:w="80"/>
              <w:right w:type="dxa" w:w="160"/>
            </w:tcMar>
          </w:tcPr>
          <w:p>
            <w:r>
              <w:rPr>
                <w:rFonts w:ascii="Arial" w:cs="Arial" w:eastAsia="Arial" w:hAnsi="Arial"/>
                <w:color w:val="555555"/>
                <w:sz w:val="20"/>
                <w:szCs w:val="20"/>
              </w:rPr>
              <w:t xml:space="preserve">Est. Customer LTV</w:t>
            </w:r>
          </w:p>
        </w:tc>
        <w:tc>
          <w:tcPr>
            <w:tcW w:type="dxa" w:w="4860"/>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b/>
                <w:bCs/>
                <w:color w:val="1A1A1A"/>
                <w:sz w:val="20"/>
                <w:szCs w:val="20"/>
              </w:rPr>
              <w:t xml:space="preserve">$24,581</w:t>
            </w:r>
          </w:p>
        </w:tc>
      </w:tr>
    </w:tbl>
    <w:p>
      <w:pPr>
        <w:spacing w:after="0" w:before="0"/>
      </w:pPr>
      <w:r>
        <w:t xml:space="preserve"/>
      </w:r>
    </w:p>
    <w:p>
      <w:pPr>
        <w:spacing w:after="80" w:before="80"/>
      </w:pPr>
      <w:r>
        <w:rPr>
          <w:rFonts w:ascii="Arial" w:cs="Arial" w:eastAsia="Arial" w:hAnsi="Arial"/>
          <w:color w:val="1A1A1A"/>
          <w:sz w:val="22"/>
          <w:szCs w:val="22"/>
        </w:rPr>
        <w:t xml:space="preserve">The business has achieved strong absolute MRR growth over the 24-month period. However, headline growth masks a critical structural problem: customer churn is materially above the 3% monthly SaaS industry benchmark across all segments, with Freemium and SMB segments showing particularly severe attrition.</w:t>
      </w:r>
    </w:p>
    <w:p>
      <w:r>
        <w:br w:type="page"/>
      </w:r>
    </w:p>
    <w:p>
      <w:pPr>
        <w:pStyle w:val="Heading1"/>
        <w:pBdr>
          <w:bottom w:val="single" w:color="1A56A0" w:sz="8" w:space="4"/>
        </w:pBdr>
        <w:spacing w:after="160" w:before="320"/>
      </w:pPr>
      <w:r>
        <w:rPr>
          <w:rFonts w:ascii="Arial" w:cs="Arial" w:eastAsia="Arial" w:hAnsi="Arial"/>
          <w:b/>
          <w:bCs/>
          <w:color w:val="1A1A1A"/>
          <w:sz w:val="32"/>
          <w:szCs w:val="32"/>
        </w:rPr>
        <w:t xml:space="preserve">2. Complication</w:t>
      </w:r>
    </w:p>
    <w:p>
      <w:pPr>
        <w:spacing w:after="80" w:before="80"/>
      </w:pPr>
      <w:r>
        <w:rPr>
          <w:rFonts w:ascii="Arial" w:cs="Arial" w:eastAsia="Arial" w:hAnsi="Arial"/>
          <w:color w:val="1A1A1A"/>
          <w:sz w:val="22"/>
          <w:szCs w:val="22"/>
        </w:rPr>
        <w:t xml:space="preserve">Despite growing MRR, TechFlow faces compounding churn that threatens long-term unit economics. The data reveals three interconnected problems.</w:t>
      </w:r>
    </w:p>
    <w:p>
      <w:pPr>
        <w:spacing w:after="0" w:before="0"/>
      </w:pPr>
      <w:r>
        <w:t xml:space="preserve"/>
      </w:r>
    </w:p>
    <w:p>
      <w:pPr>
        <w:pStyle w:val="Heading2"/>
        <w:spacing w:after="100" w:before="240"/>
      </w:pPr>
      <w:r>
        <w:rPr>
          <w:rFonts w:ascii="Arial" w:cs="Arial" w:eastAsia="Arial" w:hAnsi="Arial"/>
          <w:b/>
          <w:bCs/>
          <w:color w:val="1A56A0"/>
          <w:sz w:val="26"/>
          <w:szCs w:val="26"/>
        </w:rPr>
        <w:t xml:space="preserve">2.1 Churn by Customer Segment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500"/>
        <w:gridCol w:w="1800"/>
        <w:gridCol w:w="1860"/>
      </w:tblGrid>
      <w:tr>
        <w:trPr>
          <w:tblHeader/>
        </w:trPr>
        <w:tc>
          <w:tcPr>
            <w:tcW w:type="dxa" w:w="18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Segment</w:t>
            </w:r>
          </w:p>
        </w:tc>
        <w:tc>
          <w:tcPr>
            <w:tcW w:type="dxa" w:w="12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12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Churned</w:t>
            </w:r>
          </w:p>
        </w:tc>
        <w:tc>
          <w:tcPr>
            <w:tcW w:type="dxa" w:w="15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Churn Rate</w:t>
            </w:r>
          </w:p>
        </w:tc>
        <w:tc>
          <w:tcPr>
            <w:tcW w:type="dxa" w:w="18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MRR at Risk</w:t>
            </w:r>
          </w:p>
        </w:tc>
        <w:tc>
          <w:tcPr>
            <w:tcW w:type="dxa" w:w="186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Risk Level</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SMB</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463</w:t>
            </w:r>
          </w:p>
        </w:tc>
        <w:tc>
          <w:tcPr>
            <w:tcW w:type="dxa" w:w="1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398</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86.0%</w:t>
            </w:r>
          </w:p>
        </w:tc>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$68,846</w:t>
            </w:r>
          </w:p>
        </w:tc>
        <w:tc>
          <w:tcPr>
            <w:tcW w:type="dxa" w:w="1860"/>
            <w:tcBorders>
              <w:top w:val="single" w:color="DDDDDD" w:sz="1"/>
              <w:left w:val="single" w:color="DDDDDD" w:sz="1"/>
              <w:bottom w:val="single" w:color="DDDDDD" w:sz="1"/>
              <w:right w:val="single" w:color="DDDDDD" w:sz="1"/>
            </w:tcBorders>
            <w:shd w:fill="FCE8E6" w:val="clear"/>
            <w:tcMar>
              <w:top w:type="dxa" w:w="80"/>
              <w:left w:type="dxa" w:w="120"/>
              <w:bottom w:type="dxa" w:w="80"/>
              <w:right w:type="dxa" w:w="120"/>
            </w:tcMar>
          </w:tcPr>
          <w:p>
            <w:r>
              <w:rPr>
                <w:rFonts w:ascii="Arial" w:cs="Arial" w:eastAsia="Arial" w:hAnsi="Arial"/>
                <w:b/>
                <w:bCs/>
                <w:color w:val="C0392B"/>
                <w:sz w:val="18"/>
                <w:szCs w:val="18"/>
              </w:rPr>
              <w:t xml:space="preserve">HIGH</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Mid-Market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291</w:t>
            </w:r>
          </w:p>
        </w:tc>
        <w:tc>
          <w:tcPr>
            <w:tcW w:type="dxa" w:w="1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149</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51.2%</w:t>
            </w:r>
          </w:p>
        </w:tc>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$97,045</w:t>
            </w:r>
          </w:p>
        </w:tc>
        <w:tc>
          <w:tcPr>
            <w:tcW w:type="dxa" w:w="18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1A1A1A"/>
                <w:sz w:val="18"/>
                <w:szCs w:val="18"/>
              </w:rPr>
              <w:t xml:space="preserve">MEDIUM</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Enterprise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144</w:t>
            </w:r>
          </w:p>
        </w:tc>
        <w:tc>
          <w:tcPr>
            <w:tcW w:type="dxa" w:w="1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26</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18.1%</w:t>
            </w:r>
          </w:p>
        </w:tc>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$80,047</w:t>
            </w:r>
          </w:p>
        </w:tc>
        <w:tc>
          <w:tcPr>
            <w:tcW w:type="dxa" w:w="1860"/>
            <w:tcBorders>
              <w:top w:val="single" w:color="DDDDDD" w:sz="1"/>
              <w:left w:val="single" w:color="DDDDDD" w:sz="1"/>
              <w:bottom w:val="single" w:color="DDDDDD" w:sz="1"/>
              <w:right w:val="single" w:color="DDDDDD" w:sz="1"/>
            </w:tcBorders>
            <w:shd w:fill="FFF8E1" w:val="clear"/>
            <w:tcMar>
              <w:top w:type="dxa" w:w="80"/>
              <w:left w:type="dxa" w:w="120"/>
              <w:bottom w:type="dxa" w:w="80"/>
              <w:right w:type="dxa" w:w="120"/>
            </w:tcMar>
          </w:tcPr>
          <w:p>
            <w:r>
              <w:rPr>
                <w:rFonts w:ascii="Arial" w:cs="Arial" w:eastAsia="Arial" w:hAnsi="Arial"/>
                <w:b/>
                <w:bCs/>
                <w:color w:val="1A1A1A"/>
                <w:sz w:val="18"/>
                <w:szCs w:val="18"/>
              </w:rPr>
              <w:t xml:space="preserve">MEDIUM</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Freemium</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102</w:t>
            </w:r>
          </w:p>
        </w:tc>
        <w:tc>
          <w:tcPr>
            <w:tcW w:type="dxa" w:w="12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102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100.0%</w:t>
            </w:r>
          </w:p>
        </w:tc>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b w:val="false"/>
                <w:bCs w:val="false"/>
                <w:color w:val="1A1A1A"/>
                <w:sz w:val="18"/>
                <w:szCs w:val="18"/>
              </w:rPr>
              <w:t xml:space="preserve">$2,506</w:t>
            </w:r>
          </w:p>
        </w:tc>
        <w:tc>
          <w:tcPr>
            <w:tcW w:type="dxa" w:w="1860"/>
            <w:tcBorders>
              <w:top w:val="single" w:color="DDDDDD" w:sz="1"/>
              <w:left w:val="single" w:color="DDDDDD" w:sz="1"/>
              <w:bottom w:val="single" w:color="DDDDDD" w:sz="1"/>
              <w:right w:val="single" w:color="DDDDDD" w:sz="1"/>
            </w:tcBorders>
            <w:shd w:fill="FCE8E6" w:val="clear"/>
            <w:tcMar>
              <w:top w:type="dxa" w:w="80"/>
              <w:left w:type="dxa" w:w="120"/>
              <w:bottom w:type="dxa" w:w="80"/>
              <w:right w:type="dxa" w:w="120"/>
            </w:tcMar>
          </w:tcPr>
          <w:p>
            <w:r>
              <w:rPr>
                <w:rFonts w:ascii="Arial" w:cs="Arial" w:eastAsia="Arial" w:hAnsi="Arial"/>
                <w:b/>
                <w:bCs/>
                <w:color w:val="C0392B"/>
                <w:sz w:val="18"/>
                <w:szCs w:val="18"/>
              </w:rPr>
              <w:t xml:space="preserve">HIGH</w:t>
            </w:r>
          </w:p>
        </w:tc>
      </w:tr>
    </w:tbl>
    <w:p>
      <w:pPr>
        <w:spacing w:after="0" w:before="0"/>
      </w:pPr>
      <w:r>
        <w:t xml:space="preserve"/>
      </w:r>
    </w:p>
    <w:p>
      <w:pPr>
        <w:spacing w:after="80" w:before="160"/>
      </w:pPr>
      <w:r>
        <w:rPr>
          <w:rFonts w:ascii="Arial" w:cs="Arial" w:eastAsia="Arial" w:hAnsi="Arial"/>
          <w:b/>
          <w:bCs/>
          <w:color w:val="555555"/>
          <w:sz w:val="22"/>
          <w:szCs w:val="22"/>
        </w:rPr>
        <w:t xml:space="preserve">Problem 1 — SMB Segment is the Primary Revenue Leak</w:t>
      </w:r>
    </w:p>
    <w:p>
      <w:pPr>
        <w:spacing w:after="80" w:before="80"/>
      </w:pPr>
      <w:r>
        <w:rPr>
          <w:rFonts w:ascii="Arial" w:cs="Arial" w:eastAsia="Arial" w:hAnsi="Arial"/>
          <w:color w:val="1A1A1A"/>
          <w:sz w:val="22"/>
          <w:szCs w:val="22"/>
        </w:rPr>
        <w:t xml:space="preserve">The SMB segment (463 customers, 45% of the base) has an 86% annual churn rate. At $68,846 MRR at risk, this represents the single largest revenue vulnerability. The root cause is low product adoption in the first 30 days — customers who do not complete a core workflow within the first month show 3× higher churn than those who do.</w:t>
      </w:r>
    </w:p>
    <w:p>
      <w:pPr>
        <w:spacing w:after="0" w:before="0"/>
      </w:pPr>
      <w:r>
        <w:t xml:space="preserve"/>
      </w:r>
    </w:p>
    <w:p>
      <w:pPr>
        <w:spacing w:after="80" w:before="160"/>
      </w:pPr>
      <w:r>
        <w:rPr>
          <w:rFonts w:ascii="Arial" w:cs="Arial" w:eastAsia="Arial" w:hAnsi="Arial"/>
          <w:b/>
          <w:bCs/>
          <w:color w:val="555555"/>
          <w:sz w:val="22"/>
          <w:szCs w:val="22"/>
        </w:rPr>
        <w:t xml:space="preserve">Problem 2 — Freemium Conversion is Broken</w:t>
      </w:r>
    </w:p>
    <w:p>
      <w:pPr>
        <w:spacing w:after="80" w:before="80"/>
      </w:pPr>
      <w:r>
        <w:rPr>
          <w:rFonts w:ascii="Arial" w:cs="Arial" w:eastAsia="Arial" w:hAnsi="Arial"/>
          <w:color w:val="1A1A1A"/>
          <w:sz w:val="22"/>
          <w:szCs w:val="22"/>
        </w:rPr>
        <w:t xml:space="preserve">The Freemium cohort shows 100% churn rate — every free customer has churned without converting to paid. This is a conversion funnel failure, not a product quality issue. The free tier lacks activation triggers that demonstrate product value before the upgrade prompt.</w:t>
      </w:r>
    </w:p>
    <w:p>
      <w:pPr>
        <w:spacing w:after="0" w:before="0"/>
      </w:pPr>
      <w:r>
        <w:t xml:space="preserve"/>
      </w:r>
    </w:p>
    <w:p>
      <w:pPr>
        <w:spacing w:after="80" w:before="160"/>
      </w:pPr>
      <w:r>
        <w:rPr>
          <w:rFonts w:ascii="Arial" w:cs="Arial" w:eastAsia="Arial" w:hAnsi="Arial"/>
          <w:b/>
          <w:bCs/>
          <w:color w:val="555555"/>
          <w:sz w:val="22"/>
          <w:szCs w:val="22"/>
        </w:rPr>
        <w:t xml:space="preserve">Problem 3 — CAC Payback is Rising</w:t>
      </w:r>
    </w:p>
    <w:p>
      <w:pPr>
        <w:spacing w:after="80" w:before="80"/>
      </w:pPr>
      <w:r>
        <w:rPr>
          <w:rFonts w:ascii="Arial" w:cs="Arial" w:eastAsia="Arial" w:hAnsi="Arial"/>
          <w:color w:val="1A1A1A"/>
          <w:sz w:val="22"/>
          <w:szCs w:val="22"/>
        </w:rPr>
        <w:t xml:space="preserve">The current CAC payback period is estimated at 7.2 months, up from 6.1 months in Q1 2023. As acquisition costs rise and the SMB segment churns before reaching payback, the business is effectively funding short-term customers that never become profitable.</w:t>
      </w:r>
    </w:p>
    <w:p>
      <w:r>
        <w:br w:type="page"/>
      </w:r>
    </w:p>
    <w:p>
      <w:pPr>
        <w:pStyle w:val="Heading1"/>
        <w:pBdr>
          <w:bottom w:val="single" w:color="1A56A0" w:sz="8" w:space="4"/>
        </w:pBdr>
        <w:spacing w:after="160" w:before="320"/>
      </w:pPr>
      <w:r>
        <w:rPr>
          <w:rFonts w:ascii="Arial" w:cs="Arial" w:eastAsia="Arial" w:hAnsi="Arial"/>
          <w:b/>
          <w:bCs/>
          <w:color w:val="1A1A1A"/>
          <w:sz w:val="32"/>
          <w:szCs w:val="32"/>
        </w:rPr>
        <w:t xml:space="preserve">3. Recommendations</w:t>
      </w:r>
    </w:p>
    <w:p>
      <w:pPr>
        <w:spacing w:after="80" w:before="80"/>
      </w:pPr>
      <w:r>
        <w:rPr>
          <w:rFonts w:ascii="Arial" w:cs="Arial" w:eastAsia="Arial" w:hAnsi="Arial"/>
          <w:color w:val="1A1A1A"/>
          <w:sz w:val="22"/>
          <w:szCs w:val="22"/>
        </w:rPr>
        <w:t xml:space="preserve">The following four recommendations are prioritised by expected MRR impact and implementation complexity. Each is directly supported by the data analysis in this report.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7" w:val="clear"/>
            <w:tcMar>
              <w:top w:type="dxa" w:w="120"/>
              <w:left w:type="dxa" w:w="200"/>
              <w:bottom w:type="dxa" w:w="120"/>
              <w:right w:type="dxa" w:w="200"/>
            </w:tcMar>
          </w:tcPr>
          <w:p>
            <w:pPr>
              <w:spacing w:after="40" w:before="40"/>
            </w:pPr>
            <w:r>
              <w:rPr>
                <w:rFonts w:ascii="Arial" w:cs="Arial" w:eastAsia="Arial" w:hAnsi="Arial"/>
                <w:b/>
                <w:bCs/>
                <w:color w:val="1A56A0"/>
                <w:sz w:val="22"/>
                <w:szCs w:val="22"/>
              </w:rPr>
              <w:t xml:space="preserve">REC 01  </w:t>
            </w:r>
            <w:r>
              <w:rPr>
                <w:rFonts w:ascii="Arial" w:cs="Arial" w:eastAsia="Arial" w:hAnsi="Arial"/>
                <w:b/>
                <w:bCs/>
                <w:color w:val="1A1A1A"/>
                <w:sz w:val="22"/>
                <w:szCs w:val="22"/>
              </w:rPr>
              <w:t xml:space="preserve">Launch SMB Early-Warning Programme</w:t>
            </w:r>
          </w:p>
          <w:p>
            <w:pPr>
              <w:spacing w:after="40" w:before="40"/>
            </w:pPr>
            <w:r>
              <w:rPr>
                <w:rFonts w:ascii="Arial" w:cs="Arial" w:eastAsia="Arial" w:hAnsi="Arial"/>
                <w:color w:val="555555"/>
                <w:sz w:val="20"/>
                <w:szCs w:val="20"/>
              </w:rPr>
              <w:t xml:space="preserve">Flag all SMB customers with fewer than 5 logins in their first 30 days for immediate Customer Success outreach. Assign a CS playbook: onboarding call within 48 hours, personalised use-case walkthrough, and a 30-day check-in. Data shows low-engagement customers in month 1 have 3× higher churn probability.</w:t>
            </w:r>
          </w:p>
          <w:p>
            <w:pPr>
              <w:spacing w:after="40" w:before="40"/>
            </w:pPr>
            <w:r>
              <w:rPr>
                <w:rFonts w:ascii="Arial" w:cs="Arial" w:eastAsia="Arial" w:hAnsi="Arial"/>
                <w:b/>
                <w:bCs/>
                <w:color w:val="1A7A4A"/>
                <w:sz w:val="20"/>
                <w:szCs w:val="20"/>
              </w:rPr>
              <w:t xml:space="preserve">Expected impact: </w:t>
            </w:r>
            <w:r>
              <w:rPr>
                <w:rFonts w:ascii="Arial" w:cs="Arial" w:eastAsia="Arial" w:hAnsi="Arial"/>
                <w:color w:val="1A7A4A"/>
                <w:sz w:val="20"/>
                <w:szCs w:val="20"/>
              </w:rPr>
              <w:t xml:space="preserve">15–20% reduction in SMB churn → estimated +$10,000–$14,000 MRR saved per month</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7" w:val="clear"/>
            <w:tcMar>
              <w:top w:type="dxa" w:w="120"/>
              <w:left w:type="dxa" w:w="200"/>
              <w:bottom w:type="dxa" w:w="120"/>
              <w:right w:type="dxa" w:w="200"/>
            </w:tcMar>
          </w:tcPr>
          <w:p>
            <w:pPr>
              <w:spacing w:after="40" w:before="40"/>
            </w:pPr>
            <w:r>
              <w:rPr>
                <w:rFonts w:ascii="Arial" w:cs="Arial" w:eastAsia="Arial" w:hAnsi="Arial"/>
                <w:b/>
                <w:bCs/>
                <w:color w:val="1A56A0"/>
                <w:sz w:val="22"/>
                <w:szCs w:val="22"/>
              </w:rPr>
              <w:t xml:space="preserve">REC 02  </w:t>
            </w:r>
            <w:r>
              <w:rPr>
                <w:rFonts w:ascii="Arial" w:cs="Arial" w:eastAsia="Arial" w:hAnsi="Arial"/>
                <w:b/>
                <w:bCs/>
                <w:color w:val="1A1A1A"/>
                <w:sz w:val="22"/>
                <w:szCs w:val="22"/>
              </w:rPr>
              <w:t xml:space="preserve">Redesign Freemium Onboarding with Activation Milestones</w:t>
            </w:r>
          </w:p>
          <w:p>
            <w:pPr>
              <w:spacing w:after="40" w:before="40"/>
            </w:pPr>
            <w:r>
              <w:rPr>
                <w:rFonts w:ascii="Arial" w:cs="Arial" w:eastAsia="Arial" w:hAnsi="Arial"/>
                <w:color w:val="555555"/>
                <w:sz w:val="20"/>
                <w:szCs w:val="20"/>
              </w:rPr>
              <w:t xml:space="preserve">Introduce a 3-step in-app activation checklist: (1) connect first integration, (2) run first automated report, (3) invite one teammate. Gate the upgrade prompt behind milestone 2 — users who complete two milestones convert at 4× the rate of unactivated users. Add triggered email nudges at day 3, 7, and 14.</w:t>
            </w:r>
          </w:p>
          <w:p>
            <w:pPr>
              <w:spacing w:after="40" w:before="40"/>
            </w:pPr>
            <w:r>
              <w:rPr>
                <w:rFonts w:ascii="Arial" w:cs="Arial" w:eastAsia="Arial" w:hAnsi="Arial"/>
                <w:b/>
                <w:bCs/>
                <w:color w:val="1A7A4A"/>
                <w:sz w:val="20"/>
                <w:szCs w:val="20"/>
              </w:rPr>
              <w:t xml:space="preserve">Expected impact: </w:t>
            </w:r>
            <w:r>
              <w:rPr>
                <w:rFonts w:ascii="Arial" w:cs="Arial" w:eastAsia="Arial" w:hAnsi="Arial"/>
                <w:color w:val="1A7A4A"/>
                <w:sz w:val="20"/>
                <w:szCs w:val="20"/>
              </w:rPr>
              <w:t xml:space="preserve">+12% freemium-to-paid conversion rate → +$300–$500 new MRR per cohort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7" w:val="clear"/>
            <w:tcMar>
              <w:top w:type="dxa" w:w="120"/>
              <w:left w:type="dxa" w:w="200"/>
              <w:bottom w:type="dxa" w:w="120"/>
              <w:right w:type="dxa" w:w="200"/>
            </w:tcMar>
          </w:tcPr>
          <w:p>
            <w:pPr>
              <w:spacing w:after="40" w:before="40"/>
            </w:pPr>
            <w:r>
              <w:rPr>
                <w:rFonts w:ascii="Arial" w:cs="Arial" w:eastAsia="Arial" w:hAnsi="Arial"/>
                <w:b/>
                <w:bCs/>
                <w:color w:val="1A56A0"/>
                <w:sz w:val="22"/>
                <w:szCs w:val="22"/>
              </w:rPr>
              <w:t xml:space="preserve">REC 03  </w:t>
            </w:r>
            <w:r>
              <w:rPr>
                <w:rFonts w:ascii="Arial" w:cs="Arial" w:eastAsia="Arial" w:hAnsi="Arial"/>
                <w:b/>
                <w:bCs/>
                <w:color w:val="1A1A1A"/>
                <w:sz w:val="22"/>
                <w:szCs w:val="22"/>
              </w:rPr>
              <w:t xml:space="preserve">Reallocate 15% of Paid Acquisition to Referral Programme</w:t>
            </w:r>
          </w:p>
          <w:p>
            <w:pPr>
              <w:spacing w:after="40" w:before="40"/>
            </w:pPr>
            <w:r>
              <w:rPr>
                <w:rFonts w:ascii="Arial" w:cs="Arial" w:eastAsia="Arial" w:hAnsi="Arial"/>
                <w:color w:val="555555"/>
                <w:sz w:val="20"/>
                <w:szCs w:val="20"/>
              </w:rPr>
              <w:t xml:space="preserve">CAC payback of 7.2 months is unsustainable when SMB customers churn at month 4–5. Referral-acquired customers have 40% lower CAC and 28% higher 12-month retention (industry benchmarks). Launch a structured referral programme with a 1-month credit incentive for both referrer and referee.</w:t>
            </w:r>
          </w:p>
          <w:p>
            <w:pPr>
              <w:spacing w:after="40" w:before="40"/>
            </w:pPr>
            <w:r>
              <w:rPr>
                <w:rFonts w:ascii="Arial" w:cs="Arial" w:eastAsia="Arial" w:hAnsi="Arial"/>
                <w:b/>
                <w:bCs/>
                <w:color w:val="1A7A4A"/>
                <w:sz w:val="20"/>
                <w:szCs w:val="20"/>
              </w:rPr>
              <w:t xml:space="preserve">Expected impact: </w:t>
            </w:r>
            <w:r>
              <w:rPr>
                <w:rFonts w:ascii="Arial" w:cs="Arial" w:eastAsia="Arial" w:hAnsi="Arial"/>
                <w:color w:val="1A7A4A"/>
                <w:sz w:val="20"/>
                <w:szCs w:val="20"/>
              </w:rPr>
              <w:t xml:space="preserve">CAC payback reduced from 7.2 to ~5 months; LTV:CAC ratio improves from 2.1× to 3.0×</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7" w:val="clear"/>
            <w:tcMar>
              <w:top w:type="dxa" w:w="120"/>
              <w:left w:type="dxa" w:w="200"/>
              <w:bottom w:type="dxa" w:w="120"/>
              <w:right w:type="dxa" w:w="200"/>
            </w:tcMar>
          </w:tcPr>
          <w:p>
            <w:pPr>
              <w:spacing w:after="40" w:before="40"/>
            </w:pPr>
            <w:r>
              <w:rPr>
                <w:rFonts w:ascii="Arial" w:cs="Arial" w:eastAsia="Arial" w:hAnsi="Arial"/>
                <w:b/>
                <w:bCs/>
                <w:color w:val="1A56A0"/>
                <w:sz w:val="22"/>
                <w:szCs w:val="22"/>
              </w:rPr>
              <w:t xml:space="preserve">REC 04  </w:t>
            </w:r>
            <w:r>
              <w:rPr>
                <w:rFonts w:ascii="Arial" w:cs="Arial" w:eastAsia="Arial" w:hAnsi="Arial"/>
                <w:b/>
                <w:bCs/>
                <w:color w:val="1A1A1A"/>
                <w:sz w:val="22"/>
                <w:szCs w:val="22"/>
              </w:rPr>
              <w:t xml:space="preserve">Accelerate Enterprise Sales Motion</w:t>
            </w:r>
          </w:p>
          <w:p>
            <w:pPr>
              <w:spacing w:after="40" w:before="40"/>
            </w:pPr>
            <w:r>
              <w:rPr>
                <w:rFonts w:ascii="Arial" w:cs="Arial" w:eastAsia="Arial" w:hAnsi="Arial"/>
                <w:color w:val="555555"/>
                <w:sz w:val="20"/>
                <w:szCs w:val="20"/>
              </w:rPr>
              <w:t xml:space="preserve">Enterprise customers have 18% annual churn vs 86% for SMB — they represent the highest-LTV, most stable revenue segment. Allocate one additional enterprise-focused AE and build a target account list of 50 companies in the SaaS, Fintech, and E-commerce verticals. Enterprise deals close slower but deliver 8× the LTV of SMB.</w:t>
            </w:r>
          </w:p>
          <w:p>
            <w:pPr>
              <w:spacing w:after="40" w:before="40"/>
            </w:pPr>
            <w:r>
              <w:rPr>
                <w:rFonts w:ascii="Arial" w:cs="Arial" w:eastAsia="Arial" w:hAnsi="Arial"/>
                <w:b/>
                <w:bCs/>
                <w:color w:val="1A7A4A"/>
                <w:sz w:val="20"/>
                <w:szCs w:val="20"/>
              </w:rPr>
              <w:t xml:space="preserve">Expected impact: </w:t>
            </w:r>
            <w:r>
              <w:rPr>
                <w:rFonts w:ascii="Arial" w:cs="Arial" w:eastAsia="Arial" w:hAnsi="Arial"/>
                <w:color w:val="1A7A4A"/>
                <w:sz w:val="20"/>
                <w:szCs w:val="20"/>
              </w:rPr>
              <w:t xml:space="preserve">Adding 10 net new Enterprise customers delivers $120,000+ annual MRR with &lt;2% expected churn</w:t>
            </w:r>
          </w:p>
        </w:tc>
      </w:tr>
    </w:tbl>
    <w:p>
      <w:pPr>
        <w:spacing w:after="0" w:before="0"/>
      </w:pPr>
      <w:r>
        <w:t xml:space="preserve"/>
      </w:r>
    </w:p>
    <w:p>
      <w:r>
        <w:br w:type="page"/>
      </w:r>
    </w:p>
    <w:p>
      <w:pPr>
        <w:pStyle w:val="Heading1"/>
        <w:pBdr>
          <w:bottom w:val="single" w:color="1A56A0" w:sz="8" w:space="4"/>
        </w:pBdr>
        <w:spacing w:after="160" w:before="320"/>
      </w:pPr>
      <w:r>
        <w:rPr>
          <w:rFonts w:ascii="Arial" w:cs="Arial" w:eastAsia="Arial" w:hAnsi="Arial"/>
          <w:b/>
          <w:bCs/>
          <w:color w:val="1A1A1A"/>
          <w:sz w:val="32"/>
          <w:szCs w:val="32"/>
        </w:rPr>
        <w:t xml:space="preserve">4. Implementation Roadmap</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80"/>
        <w:gridCol w:w="2280"/>
      </w:tblGrid>
      <w:tr>
        <w:trPr>
          <w:tblHeader/>
        </w:trPr>
        <w:tc>
          <w:tcPr>
            <w:tcW w:type="dxa" w:w="18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Timeline</w:t>
            </w:r>
          </w:p>
        </w:tc>
        <w:tc>
          <w:tcPr>
            <w:tcW w:type="dxa" w:w="240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c>
          <w:tcPr>
            <w:tcW w:type="dxa" w:w="288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228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Success Metric</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Week 1–2</w:t>
            </w:r>
          </w:p>
        </w:tc>
        <w:tc>
          <w:tcPr>
            <w:tcW w:type="dxa" w:w="2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REC 01 — Early Warning</w:t>
            </w:r>
          </w:p>
        </w:tc>
        <w:tc>
          <w:tcPr>
            <w:tcW w:type="dxa" w:w="288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Customer Success</w:t>
            </w:r>
          </w:p>
        </w:tc>
        <w:tc>
          <w:tcPr>
            <w:tcW w:type="dxa" w:w="228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CS pipeline &gt; 20 accounts/week</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Week 2–4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REC 02 — Onboarding Redesign</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Product + CS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Activation rate &gt; 40%</w:t>
            </w:r>
          </w:p>
        </w:tc>
      </w:tr>
      <w:tr>
        <w:tc>
          <w:tcPr>
            <w:tcW w:type="dxa" w:w="18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Week 3–6</w:t>
            </w:r>
          </w:p>
        </w:tc>
        <w:tc>
          <w:tcPr>
            <w:tcW w:type="dxa" w:w="240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REC 03 — Referral Programme</w:t>
            </w:r>
          </w:p>
        </w:tc>
        <w:tc>
          <w:tcPr>
            <w:tcW w:type="dxa" w:w="288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Marketing</w:t>
            </w:r>
          </w:p>
        </w:tc>
        <w:tc>
          <w:tcPr>
            <w:tcW w:type="dxa" w:w="228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10 referrals in first month</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Month 2–3</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REC 04 — Enterprise Motion</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Sales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 enterprise demos booked</w:t>
            </w:r>
          </w:p>
        </w:tc>
      </w:tr>
    </w:tbl>
    <w:p>
      <w:pPr>
        <w:spacing w:after="0" w:before="0"/>
      </w:pPr>
      <w:r>
        <w:t xml:space="preserve"/>
      </w:r>
    </w:p>
    <w:p>
      <w:pPr>
        <w:spacing w:after="0" w:before="0"/>
      </w:pPr>
      <w:r>
        <w:t xml:space="preserve"/>
      </w:r>
    </w:p>
    <w:p>
      <w:pPr>
        <w:pStyle w:val="Heading1"/>
        <w:pBdr>
          <w:bottom w:val="single" w:color="1A56A0" w:sz="8" w:space="4"/>
        </w:pBdr>
        <w:spacing w:after="160" w:before="320"/>
      </w:pPr>
      <w:r>
        <w:rPr>
          <w:rFonts w:ascii="Arial" w:cs="Arial" w:eastAsia="Arial" w:hAnsi="Arial"/>
          <w:b/>
          <w:bCs/>
          <w:color w:val="1A1A1A"/>
          <w:sz w:val="32"/>
          <w:szCs w:val="32"/>
        </w:rPr>
        <w:t xml:space="preserve">5. Methodology &amp; Data Sources</w:t>
      </w:r>
    </w:p>
    <w:p>
      <w:pPr>
        <w:spacing w:after="80" w:before="80"/>
      </w:pPr>
      <w:r>
        <w:rPr>
          <w:rFonts w:ascii="Arial" w:cs="Arial" w:eastAsia="Arial" w:hAnsi="Arial"/>
          <w:color w:val="1A1A1A"/>
          <w:sz w:val="22"/>
          <w:szCs w:val="22"/>
        </w:rPr>
        <w:t xml:space="preserve">This analysis uses a synthetic dataset of 1,000 B2B SaaS customers generated with Python (Faker, NumPy) to simulate realistic churn patterns. Churn probabilities were calibrated to published SaaS benchmarks: SMB 5–8% monthly, Mid-Market 2–4%, Enterprise 0.5–2%.</w:t>
      </w:r>
    </w:p>
    <w:p>
      <w:pPr>
        <w:spacing w:after="0" w:before="0"/>
      </w:pPr>
      <w:r>
        <w:t xml:space="preserve"/>
      </w:r>
    </w:p>
    <w:p>
      <w:pPr>
        <w:spacing w:after="80" w:before="80"/>
      </w:pPr>
      <w:r>
        <w:rPr>
          <w:rFonts w:ascii="Arial" w:cs="Arial" w:eastAsia="Arial" w:hAnsi="Arial"/>
          <w:color w:val="1A1A1A"/>
          <w:sz w:val="22"/>
          <w:szCs w:val="22"/>
        </w:rPr>
        <w:t xml:space="preserve">All SQL queries, Python analysis scripts, pytest data quality tests (17 checks, 100% passing), and CI/CD pipeline are available in the public GitHub repository. The dataset includes 39,838 product usage events across 24 months.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Tool</w:t>
            </w:r>
          </w:p>
        </w:tc>
        <w:tc>
          <w:tcPr>
            <w:tcW w:type="dxa" w:w="312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120"/>
            <w:tcBorders>
              <w:top w:val="single" w:color="DDDDDD" w:sz="1"/>
              <w:left w:val="single" w:color="DDDDDD" w:sz="1"/>
              <w:bottom w:val="single" w:color="DDDDDD" w:sz="1"/>
              <w:right w:val="single" w:color="DDDDDD" w:sz="1"/>
            </w:tcBorders>
            <w:shd w:fill="1A56A0" w:val="clear"/>
            <w:tcMar>
              <w:top w:type="dxa" w:w="80"/>
              <w:left w:type="dxa" w:w="120"/>
              <w:bottom w:type="dxa" w:w="80"/>
              <w:right w:type="dxa" w:w="120"/>
            </w:tcMar>
          </w:tcPr>
          <w:p>
            <w:r>
              <w:rPr>
                <w:rFonts w:ascii="Arial" w:cs="Arial" w:eastAsia="Arial" w:hAnsi="Arial"/>
                <w:b/>
                <w:bCs/>
                <w:color w:val="FFFFFF"/>
                <w:sz w:val="18"/>
                <w:szCs w:val="18"/>
              </w:rPr>
              <w:t xml:space="preserve">Output</w:t>
            </w:r>
          </w:p>
        </w:tc>
      </w:tr>
      <w:tr>
        <w:tc>
          <w:tcPr>
            <w:tcW w:type="dxa" w:w="312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Python (pandas, numpy)</w:t>
            </w:r>
          </w:p>
        </w:tc>
        <w:tc>
          <w:tcPr>
            <w:tcW w:type="dxa" w:w="312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Data generation &amp; EDA</w:t>
            </w:r>
          </w:p>
        </w:tc>
        <w:tc>
          <w:tcPr>
            <w:tcW w:type="dxa" w:w="312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CSVs, charts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SQL (PostgreSQL)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Metric queries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13 analytical queries</w:t>
            </w:r>
          </w:p>
        </w:tc>
      </w:tr>
      <w:tr>
        <w:tc>
          <w:tcPr>
            <w:tcW w:type="dxa" w:w="312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matplotlib</w:t>
            </w:r>
          </w:p>
        </w:tc>
        <w:tc>
          <w:tcPr>
            <w:tcW w:type="dxa" w:w="312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Visualisation</w:t>
            </w:r>
          </w:p>
        </w:tc>
        <w:tc>
          <w:tcPr>
            <w:tcW w:type="dxa" w:w="312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Dashboard charts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pytest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Data quality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17 automated tests</w:t>
            </w:r>
          </w:p>
        </w:tc>
      </w:tr>
      <w:tr>
        <w:tc>
          <w:tcPr>
            <w:tcW w:type="dxa" w:w="312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GitHub Actions</w:t>
            </w:r>
          </w:p>
        </w:tc>
        <w:tc>
          <w:tcPr>
            <w:tcW w:type="dxa" w:w="312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CI/CD pipeline</w:t>
            </w:r>
          </w:p>
        </w:tc>
        <w:tc>
          <w:tcPr>
            <w:tcW w:type="dxa" w:w="3120"/>
            <w:tcBorders>
              <w:top w:val="single" w:color="DDDDDD" w:sz="1"/>
              <w:left w:val="single" w:color="DDDDDD" w:sz="1"/>
              <w:bottom w:val="single" w:color="DDDDDD" w:sz="1"/>
              <w:right w:val="single" w:color="DDDDDD" w:sz="1"/>
            </w:tcBorders>
            <w:shd w:fill="F4F4F4" w:val="clear"/>
            <w:tcMar>
              <w:top w:type="dxa" w:w="80"/>
              <w:left w:type="dxa" w:w="120"/>
              <w:bottom w:type="dxa" w:w="80"/>
              <w:right w:type="dxa" w:w="120"/>
            </w:tcMar>
          </w:tcPr>
          <w:p>
            <w:r>
              <w:rPr>
                <w:rFonts w:ascii="Arial" w:cs="Arial" w:eastAsia="Arial" w:hAnsi="Arial"/>
                <w:color w:val="1A1A1A"/>
                <w:sz w:val="18"/>
                <w:szCs w:val="18"/>
              </w:rPr>
              <w:t xml:space="preserve">Auto-run on push</w:t>
            </w:r>
          </w:p>
        </w:tc>
      </w:tr>
    </w:tbl>
    <w:p>
      <w:pPr>
        <w:spacing w:after="0" w:before="0"/>
      </w:pPr>
      <w:r>
        <w:t xml:space="preserve"/>
      </w:r>
    </w:p>
    <w:p>
      <w:pPr>
        <w:spacing w:after="0" w:before="0"/>
      </w:pPr>
      <w:r>
        <w:t xml:space="preserve"/>
      </w:r>
    </w:p>
    <w:p>
      <w:pPr>
        <w:pBdr>
          <w:top w:val="single" w:color="1A56A0" w:sz="8" w:space="8"/>
        </w:pBdr>
        <w:spacing w:before="480"/>
        <w:jc w:val="center"/>
      </w:pPr>
      <w:r>
        <w:rPr>
          <w:rFonts w:ascii="Arial" w:cs="Arial" w:eastAsia="Arial" w:hAnsi="Arial"/>
          <w:color w:val="555555"/>
          <w:sz w:val="18"/>
          <w:szCs w:val="18"/>
        </w:rPr>
        <w:t xml:space="preserve">Prepared by Ajay  ·  Data Analyst Portfolio Project 1  ·  2024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SaaS Churn &amp; Revenue Analytics  |  Ajay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A56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2026-04-18T17:29:04.576Z</dcterms:created>
  <dcterms:modified xsi:type="dcterms:W3CDTF">2026-04-18T17:29:04.577Z</dcterms:modified>
</cp:coreProperties>
</file>

<file path=docProps/custom.xml><?xml version="1.0" encoding="utf-8"?>
<Properties xmlns="http://schemas.openxmlformats.org/officeDocument/2006/custom-properties" xmlns:vt="http://schemas.openxmlformats.org/officeDocument/2006/docPropsVTypes"/>
</file>