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49C23" w14:textId="644D423F" w:rsidR="005713ED" w:rsidRDefault="005713ED" w:rsidP="005713ED">
      <w:pPr>
        <w:pStyle w:val="Title"/>
      </w:pPr>
      <w:r>
        <w:t>RSM</w:t>
      </w:r>
      <w:r w:rsidR="00437AED">
        <w:t xml:space="preserve"> – Call for papers </w:t>
      </w:r>
      <w:r w:rsidR="00CF1A60">
        <w:t xml:space="preserve">on data </w:t>
      </w:r>
      <w:r w:rsidR="007561AB">
        <w:t>visualization</w:t>
      </w:r>
    </w:p>
    <w:p w14:paraId="44B6A4D2" w14:textId="77777777" w:rsidR="005713ED" w:rsidRDefault="005713ED" w:rsidP="005713ED">
      <w:pPr>
        <w:pStyle w:val="Heading1"/>
      </w:pPr>
      <w:bookmarkStart w:id="0" w:name="front-matter"/>
      <w:r>
        <w:t>Front Matter</w:t>
      </w:r>
      <w:bookmarkEnd w:id="0"/>
    </w:p>
    <w:p w14:paraId="2DDDF407" w14:textId="77777777" w:rsidR="005713ED" w:rsidRDefault="005713ED" w:rsidP="005713ED">
      <w:pPr>
        <w:pStyle w:val="FirstParagraph"/>
      </w:pPr>
      <w:r>
        <w:rPr>
          <w:b/>
        </w:rPr>
        <w:t xml:space="preserve">Title: </w:t>
      </w:r>
      <w:r>
        <w:br/>
        <w:t>Developing visualization tools with R and Shiny: a case study of the new Risk of Bias visualization tool.</w:t>
      </w:r>
    </w:p>
    <w:p w14:paraId="36E789B5" w14:textId="77777777" w:rsidR="005713ED" w:rsidRDefault="005713ED" w:rsidP="005713ED">
      <w:pPr>
        <w:pStyle w:val="BodyText"/>
      </w:pPr>
      <w:r>
        <w:t> </w:t>
      </w:r>
    </w:p>
    <w:p w14:paraId="6B9AC46F" w14:textId="5DDAD760" w:rsidR="005713ED" w:rsidRDefault="005713ED" w:rsidP="005713ED">
      <w:pPr>
        <w:pStyle w:val="BodyText"/>
      </w:pPr>
      <w:r>
        <w:rPr>
          <w:b/>
        </w:rPr>
        <w:t xml:space="preserve">Authors and </w:t>
      </w:r>
      <w:r>
        <w:rPr>
          <w:b/>
        </w:rPr>
        <w:t>Affiliations</w:t>
      </w:r>
    </w:p>
    <w:p w14:paraId="2B6ED4CE" w14:textId="77777777" w:rsidR="005713ED" w:rsidRDefault="005713ED" w:rsidP="005713ED">
      <w:pPr>
        <w:pStyle w:val="BodyText"/>
      </w:pPr>
      <w:r>
        <w:t>Luke A McGuinness</w:t>
      </w:r>
      <w:r>
        <w:rPr>
          <w:vertAlign w:val="superscript"/>
        </w:rPr>
        <w:t>1,2</w:t>
      </w:r>
      <w:r>
        <w:t xml:space="preserve"> (ORCID: 0000-0001-8730-9761), Julian PT Higgins</w:t>
      </w:r>
      <w:r>
        <w:rPr>
          <w:vertAlign w:val="superscript"/>
        </w:rPr>
        <w:t>1,2</w:t>
      </w:r>
      <w:r>
        <w:t xml:space="preserve"> (ORCID: 0000-0002-8323-2514)</w:t>
      </w:r>
    </w:p>
    <w:p w14:paraId="55E6ADB0" w14:textId="77777777" w:rsidR="005713ED" w:rsidRDefault="005713ED" w:rsidP="005713ED">
      <w:pPr>
        <w:pStyle w:val="Compact"/>
        <w:numPr>
          <w:ilvl w:val="0"/>
          <w:numId w:val="26"/>
        </w:numPr>
      </w:pPr>
      <w:r>
        <w:t>MRC University of Bristol Integrative Epidemiology Unit, Bristol, UK</w:t>
      </w:r>
    </w:p>
    <w:p w14:paraId="0DA22463" w14:textId="77777777" w:rsidR="005713ED" w:rsidRDefault="005713ED" w:rsidP="005713ED">
      <w:pPr>
        <w:pStyle w:val="Compact"/>
        <w:numPr>
          <w:ilvl w:val="0"/>
          <w:numId w:val="26"/>
        </w:numPr>
      </w:pPr>
      <w:r>
        <w:t>Bristol Medical School: Population Health Sciences, University of Bristol, Bristol, UK</w:t>
      </w:r>
    </w:p>
    <w:p w14:paraId="205AAF93" w14:textId="77777777" w:rsidR="005713ED" w:rsidRDefault="005713ED" w:rsidP="005713ED">
      <w:pPr>
        <w:pStyle w:val="FirstParagraph"/>
      </w:pPr>
      <w:r>
        <w:t> </w:t>
      </w:r>
    </w:p>
    <w:p w14:paraId="520E6A6D" w14:textId="77777777" w:rsidR="005713ED" w:rsidRDefault="005713ED" w:rsidP="005713ED">
      <w:pPr>
        <w:pStyle w:val="BodyText"/>
      </w:pPr>
      <w:r>
        <w:rPr>
          <w:b/>
        </w:rPr>
        <w:t>Corresponding author:</w:t>
      </w:r>
    </w:p>
    <w:p w14:paraId="0E15B124" w14:textId="77777777" w:rsidR="005713ED" w:rsidRDefault="005713ED" w:rsidP="005713ED">
      <w:pPr>
        <w:pStyle w:val="BodyText"/>
      </w:pPr>
      <w:r>
        <w:t xml:space="preserve">Luke McGuinness; Bristol Medical School, University of Bristol, Canynge Hall, 39 Whatley Road, Bristol, BS8 2PS, United Kingdom.; </w:t>
      </w:r>
      <w:hyperlink r:id="rId7">
        <w:r>
          <w:rPr>
            <w:rStyle w:val="Hyperlink"/>
          </w:rPr>
          <w:t>luke.mcguinness@bristol.ac.uk</w:t>
        </w:r>
      </w:hyperlink>
    </w:p>
    <w:p w14:paraId="713967E0" w14:textId="77777777" w:rsidR="005713ED" w:rsidRDefault="005713ED" w:rsidP="005713ED">
      <w:pPr>
        <w:pStyle w:val="BodyText"/>
      </w:pPr>
      <w:r>
        <w:t> </w:t>
      </w:r>
    </w:p>
    <w:p w14:paraId="4252E640" w14:textId="77777777" w:rsidR="005713ED" w:rsidRDefault="005713ED" w:rsidP="005713ED">
      <w:pPr>
        <w:pStyle w:val="BodyText"/>
      </w:pPr>
      <w:r>
        <w:rPr>
          <w:b/>
        </w:rPr>
        <w:t>Article type</w:t>
      </w:r>
    </w:p>
    <w:p w14:paraId="0157F20E" w14:textId="77777777" w:rsidR="005713ED" w:rsidRDefault="005713ED" w:rsidP="005713ED">
      <w:pPr>
        <w:pStyle w:val="BodyText"/>
      </w:pPr>
      <w:r>
        <w:rPr>
          <w:i/>
        </w:rPr>
        <w:t>Computational Tools and Methods</w:t>
      </w:r>
    </w:p>
    <w:p w14:paraId="25EDBD88" w14:textId="77777777" w:rsidR="005713ED" w:rsidRDefault="005713ED" w:rsidP="005713ED">
      <w:pPr>
        <w:pStyle w:val="BodyText"/>
      </w:pPr>
      <w:r>
        <w:t> </w:t>
      </w:r>
    </w:p>
    <w:p w14:paraId="2C8CD7F6" w14:textId="77777777" w:rsidR="005713ED" w:rsidRDefault="005713ED" w:rsidP="005713ED">
      <w:pPr>
        <w:pStyle w:val="BodyText"/>
      </w:pPr>
      <w:r>
        <w:rPr>
          <w:b/>
        </w:rPr>
        <w:t>Funding</w:t>
      </w:r>
    </w:p>
    <w:p w14:paraId="3245B745" w14:textId="29CD95CB" w:rsidR="005713ED" w:rsidRDefault="005713ED" w:rsidP="005713ED">
      <w:pPr>
        <w:pStyle w:val="BodyText"/>
      </w:pPr>
      <w:r>
        <w:t xml:space="preserve">LAM is supported by an NIHR Doctoral Research Fellowship (DRF-2018-11-ST2-048). </w:t>
      </w:r>
      <w:r>
        <w:t>Attendance</w:t>
      </w:r>
      <w:r>
        <w:t xml:space="preserve"> at the Evidence Synthesis Hackathon in April 2019 was supported by a grant from the Evidence Synthesis Hackathon itself and the University of Bristol Alumni Foundation.</w:t>
      </w:r>
    </w:p>
    <w:p w14:paraId="3794AB6B" w14:textId="77777777" w:rsidR="005713ED" w:rsidRDefault="005713ED" w:rsidP="005713ED">
      <w:pPr>
        <w:rPr>
          <w:rFonts w:asciiTheme="majorHAnsi" w:eastAsiaTheme="majorEastAsia" w:hAnsiTheme="majorHAnsi" w:cstheme="majorBidi"/>
          <w:b/>
          <w:bCs/>
          <w:sz w:val="32"/>
          <w:szCs w:val="32"/>
        </w:rPr>
      </w:pPr>
      <w:bookmarkStart w:id="1" w:name="section"/>
      <w:bookmarkStart w:id="2" w:name="abstract"/>
      <w:bookmarkEnd w:id="1"/>
      <w:r>
        <w:br w:type="page"/>
      </w:r>
    </w:p>
    <w:p w14:paraId="5D8105CB" w14:textId="77777777" w:rsidR="005713ED" w:rsidRDefault="005713ED" w:rsidP="005713ED">
      <w:pPr>
        <w:pStyle w:val="Heading1"/>
      </w:pPr>
      <w:r>
        <w:lastRenderedPageBreak/>
        <w:t>Abstract</w:t>
      </w:r>
      <w:bookmarkEnd w:id="2"/>
    </w:p>
    <w:p w14:paraId="6E6B28F4" w14:textId="37FB6117" w:rsidR="009C6DBB" w:rsidRDefault="009C6DBB" w:rsidP="009C6DBB">
      <w:bookmarkStart w:id="3" w:name="section-1"/>
      <w:bookmarkStart w:id="4" w:name="highlights"/>
      <w:bookmarkEnd w:id="3"/>
      <w:r>
        <w:t xml:space="preserve">Despite a major increase in range and number of software offerings now available to help researchers produce evidence syntheses, there is </w:t>
      </w:r>
      <w:r w:rsidR="000B7F1D">
        <w:t xml:space="preserve">currently </w:t>
      </w:r>
      <w:r>
        <w:t xml:space="preserve">no tool with a focus on producing </w:t>
      </w:r>
      <w:r w:rsidR="000B7F1D">
        <w:t>figures that can be used to explore the risk-of-bias assessments that routinely take place as part of systematic review.</w:t>
      </w:r>
      <w:r w:rsidR="000B7F1D">
        <w:t xml:space="preserve"> </w:t>
      </w:r>
      <w:r>
        <w:t>Fortunately</w:t>
      </w:r>
      <w:r w:rsidR="000B7F1D">
        <w:t>, t</w:t>
      </w:r>
      <w:r>
        <w:t xml:space="preserve">ools such as </w:t>
      </w:r>
      <w:r w:rsidR="000B7F1D">
        <w:t xml:space="preserve">the </w:t>
      </w:r>
      <w:r>
        <w:t>R</w:t>
      </w:r>
      <w:r w:rsidR="000B7F1D">
        <w:t xml:space="preserve"> programming environment</w:t>
      </w:r>
      <w:r>
        <w:t xml:space="preserve"> and Shiny (an R package for building interactive web apps) have made it easier than ever to produce new tools to help in producing evidence syntheses.</w:t>
      </w:r>
    </w:p>
    <w:p w14:paraId="367A90BC" w14:textId="2F9C3E34" w:rsidR="00E01C80" w:rsidRDefault="00E01C80" w:rsidP="00E01C80">
      <w:r>
        <w:t>W</w:t>
      </w:r>
      <w:r>
        <w:t xml:space="preserve">e present a recently developed tool, robvis (Risk-Of-Bias </w:t>
      </w:r>
      <w:proofErr w:type="spellStart"/>
      <w:r>
        <w:t>VISualization</w:t>
      </w:r>
      <w:proofErr w:type="spellEnd"/>
      <w:r>
        <w:t xml:space="preserve">; available as a R package and web app) which allows users to rapidly produce publication quality </w:t>
      </w:r>
      <w:r w:rsidR="000B7F1D">
        <w:t xml:space="preserve">risk of bias assessment figures. </w:t>
      </w:r>
      <w:r>
        <w:t>We present a timeline of the tool’s development</w:t>
      </w:r>
      <w:r w:rsidR="00EA00B4">
        <w:t xml:space="preserve"> and</w:t>
      </w:r>
      <w:r>
        <w:t xml:space="preserve"> its key functionality</w:t>
      </w:r>
      <w:r w:rsidR="00EA00B4">
        <w:t>.</w:t>
      </w:r>
    </w:p>
    <w:p w14:paraId="4D285DE1" w14:textId="78CDCA28" w:rsidR="005713ED" w:rsidRDefault="005713ED" w:rsidP="00E01C80">
      <w:pPr>
        <w:rPr>
          <w:rFonts w:asciiTheme="majorHAnsi" w:eastAsiaTheme="majorEastAsia" w:hAnsiTheme="majorHAnsi" w:cstheme="majorBidi"/>
          <w:b/>
          <w:bCs/>
          <w:sz w:val="32"/>
          <w:szCs w:val="32"/>
        </w:rPr>
      </w:pPr>
      <w:r>
        <w:br w:type="page"/>
      </w:r>
    </w:p>
    <w:p w14:paraId="20A65243" w14:textId="77777777" w:rsidR="005713ED" w:rsidRDefault="005713ED" w:rsidP="005713ED">
      <w:pPr>
        <w:pStyle w:val="Heading1"/>
      </w:pPr>
      <w:r>
        <w:t>Highlights</w:t>
      </w:r>
      <w:bookmarkEnd w:id="4"/>
    </w:p>
    <w:p w14:paraId="59A63962" w14:textId="16909379" w:rsidR="007C7EE2" w:rsidRDefault="007C7EE2" w:rsidP="005713ED">
      <w:pPr>
        <w:pStyle w:val="Compact"/>
        <w:numPr>
          <w:ilvl w:val="0"/>
          <w:numId w:val="27"/>
        </w:numPr>
      </w:pPr>
      <w:r>
        <w:t>Risk of bias assessment is a key element of the systematic review workflow</w:t>
      </w:r>
    </w:p>
    <w:p w14:paraId="27AE9FCB" w14:textId="43765529" w:rsidR="005713ED" w:rsidRDefault="005713ED" w:rsidP="005713ED">
      <w:pPr>
        <w:pStyle w:val="Compact"/>
        <w:numPr>
          <w:ilvl w:val="0"/>
          <w:numId w:val="27"/>
        </w:numPr>
      </w:pPr>
      <w:r>
        <w:t xml:space="preserve">No other </w:t>
      </w:r>
      <w:r>
        <w:t>visualization</w:t>
      </w:r>
      <w:r>
        <w:t xml:space="preserve"> tool exists explicitly for the purpose of </w:t>
      </w:r>
      <w:r>
        <w:t>visualizing</w:t>
      </w:r>
      <w:r>
        <w:t xml:space="preserve"> risk of bias results</w:t>
      </w:r>
    </w:p>
    <w:p w14:paraId="71350536" w14:textId="0E2F65FB" w:rsidR="005713ED" w:rsidRDefault="005713ED" w:rsidP="005713ED">
      <w:pPr>
        <w:pStyle w:val="Compact"/>
        <w:numPr>
          <w:ilvl w:val="0"/>
          <w:numId w:val="27"/>
        </w:numPr>
      </w:pPr>
      <w:r>
        <w:t xml:space="preserve">Here we present </w:t>
      </w:r>
      <w:r>
        <w:rPr>
          <w:rStyle w:val="VerbatimChar"/>
        </w:rPr>
        <w:t>robvis</w:t>
      </w:r>
      <w:r>
        <w:t xml:space="preserve">, an </w:t>
      </w:r>
      <w:r w:rsidR="007C7EE2">
        <w:t xml:space="preserve">open-source </w:t>
      </w:r>
      <w:r>
        <w:t xml:space="preserve">R package and </w:t>
      </w:r>
      <w:r>
        <w:rPr>
          <w:rStyle w:val="VerbatimChar"/>
        </w:rPr>
        <w:t>Shiny</w:t>
      </w:r>
      <w:r>
        <w:t xml:space="preserve"> web app for </w:t>
      </w:r>
      <w:r w:rsidR="007C7EE2">
        <w:t xml:space="preserve">creating publication-ready </w:t>
      </w:r>
      <w:r>
        <w:t xml:space="preserve">risk of bias assessment </w:t>
      </w:r>
      <w:r w:rsidR="007C7EE2">
        <w:t>figures</w:t>
      </w:r>
    </w:p>
    <w:p w14:paraId="02265D48" w14:textId="77777777" w:rsidR="005713ED" w:rsidRDefault="005713ED" w:rsidP="005713ED">
      <w:pPr>
        <w:pStyle w:val="Compact"/>
        <w:numPr>
          <w:ilvl w:val="0"/>
          <w:numId w:val="27"/>
        </w:numPr>
      </w:pPr>
      <w:r>
        <w:rPr>
          <w:rStyle w:val="VerbatimChar"/>
        </w:rPr>
        <w:t>robvis</w:t>
      </w:r>
      <w:r>
        <w:t xml:space="preserve"> forms part of the </w:t>
      </w:r>
      <w:r>
        <w:rPr>
          <w:rStyle w:val="VerbatimChar"/>
        </w:rPr>
        <w:t>metaverse</w:t>
      </w:r>
      <w:r>
        <w:t>, a collection of R packages designed to provide an evidence synthesis workflow in R.</w:t>
      </w:r>
      <w:bookmarkStart w:id="5" w:name="section-2"/>
      <w:bookmarkEnd w:id="5"/>
    </w:p>
    <w:p w14:paraId="14D53973" w14:textId="77777777" w:rsidR="005713ED" w:rsidRDefault="005713ED" w:rsidP="005713ED">
      <w:pPr>
        <w:rPr>
          <w:rFonts w:asciiTheme="majorHAnsi" w:eastAsiaTheme="majorEastAsia" w:hAnsiTheme="majorHAnsi" w:cstheme="majorBidi"/>
          <w:b/>
          <w:bCs/>
          <w:sz w:val="32"/>
          <w:szCs w:val="32"/>
        </w:rPr>
      </w:pPr>
      <w:bookmarkStart w:id="6" w:name="introduction"/>
      <w:r>
        <w:br w:type="page"/>
      </w:r>
    </w:p>
    <w:p w14:paraId="53099D49" w14:textId="77777777" w:rsidR="005713ED" w:rsidRDefault="005713ED" w:rsidP="005713ED">
      <w:pPr>
        <w:pStyle w:val="Heading1"/>
      </w:pPr>
      <w:r>
        <w:lastRenderedPageBreak/>
        <w:t>Introduction</w:t>
      </w:r>
      <w:bookmarkEnd w:id="6"/>
    </w:p>
    <w:p w14:paraId="6C07815F" w14:textId="5FCAAC12" w:rsidR="005713ED" w:rsidRDefault="005713ED" w:rsidP="005713ED">
      <w:pPr>
        <w:pStyle w:val="BodyText"/>
      </w:pPr>
      <w:r>
        <w:t>Evidence synthesis, the act of drawing together all relevant information to inform, is becoming more important than ever in informing policy across an increasingly wide range of fields.</w:t>
      </w:r>
      <w:r>
        <w:rPr>
          <w:vertAlign w:val="superscript"/>
        </w:rPr>
        <w:t>1</w:t>
      </w:r>
      <w:r>
        <w:t xml:space="preserve"> Risk of bias assessment - assessment of the internal validity of studies included in a systematic review - often forms a key part of the evidence synthesis process, particularly in the health sciences.</w:t>
      </w:r>
      <w:r>
        <w:rPr>
          <w:vertAlign w:val="superscript"/>
        </w:rPr>
        <w:t>2</w:t>
      </w:r>
      <w:r>
        <w:t xml:space="preserve"> There are several well developed tools that are routinely used to produce risk of bias assessments, depending on the type of study under consideration.</w:t>
      </w:r>
      <w:r>
        <w:rPr>
          <w:vertAlign w:val="superscript"/>
        </w:rPr>
        <w:t>3–6</w:t>
      </w:r>
      <w:r>
        <w:t xml:space="preserve"> Rather than making use of checklists or point-scoring systems, these tools are domain-based, assessing the risk of bias across a number of equally important categories. For example, the first domain in the Cochrane ROB2 tool for the </w:t>
      </w:r>
      <w:r w:rsidR="005A4709">
        <w:t>assessment</w:t>
      </w:r>
      <w:r>
        <w:t xml:space="preserve"> of randomised controlled trials deals with “Bias arising due to randomisation”.</w:t>
      </w:r>
      <w:r>
        <w:rPr>
          <w:vertAlign w:val="superscript"/>
        </w:rPr>
        <w:t>4</w:t>
      </w:r>
      <w:r w:rsidR="00861230">
        <w:rPr>
          <w:vertAlign w:val="superscript"/>
        </w:rPr>
        <w:t xml:space="preserve"> </w:t>
      </w:r>
      <w:r>
        <w:t xml:space="preserve">Accessible graphics </w:t>
      </w:r>
      <w:r w:rsidR="005A4709">
        <w:t>summarizing</w:t>
      </w:r>
      <w:r>
        <w:t xml:space="preserve"> the results of these domain-based risk-of-bias assessments are</w:t>
      </w:r>
      <w:r w:rsidR="00861230">
        <w:t xml:space="preserve"> included in reports of systematic reviews</w:t>
      </w:r>
      <w:r>
        <w:t xml:space="preserve">, the two most common being weighted </w:t>
      </w:r>
      <w:r w:rsidR="005A4709">
        <w:t>bar plots</w:t>
      </w:r>
      <w:r>
        <w:t>, which show the proportion of information with each judgement for each domain in the assessment tool specified, and “traffic light” plots, which tabulate each study by each domain and provide a more detailed view of the results of the risk-of-bias assessment.</w:t>
      </w:r>
      <w:r>
        <w:rPr>
          <w:vertAlign w:val="superscript"/>
        </w:rPr>
        <w:t>2</w:t>
      </w:r>
    </w:p>
    <w:p w14:paraId="18FF7FD9" w14:textId="6020AE19" w:rsidR="005713ED" w:rsidRDefault="005713ED" w:rsidP="005713ED">
      <w:pPr>
        <w:pStyle w:val="BodyText"/>
      </w:pPr>
      <w:r>
        <w:t xml:space="preserve">However, researchers often face a number of barriers in creating such plots. While some </w:t>
      </w:r>
      <w:r w:rsidR="005A4709">
        <w:t>commercial</w:t>
      </w:r>
      <w:r>
        <w:t xml:space="preserve"> evidence synthesis platforms, such as RevMan,</w:t>
      </w:r>
      <w:r>
        <w:rPr>
          <w:vertAlign w:val="superscript"/>
        </w:rPr>
        <w:t>7</w:t>
      </w:r>
      <w:r>
        <w:t xml:space="preserve"> are able to produce these </w:t>
      </w:r>
      <w:r w:rsidR="005A4709">
        <w:t>visualizations</w:t>
      </w:r>
      <w:r>
        <w:t>, not all researchers use these systems to conduct their systematic reviews, meaning that copying the risk of bias data into these systems simply to produce the plots is inefficient and error prone. Likewise, creating the figures by hand, through software such as MS PowerPoint or Adobe Illustrator, may lead to unintentional errors and require the plots to be redrawn during an (increasingly common) update to the review.</w:t>
      </w:r>
      <w:r w:rsidR="00243967">
        <w:t xml:space="preserve"> </w:t>
      </w:r>
      <w:r w:rsidR="00A05CD7">
        <w:t>Additionally,</w:t>
      </w:r>
      <w:r>
        <w:t xml:space="preserve"> </w:t>
      </w:r>
      <w:r w:rsidR="00243967">
        <w:t>while</w:t>
      </w:r>
      <w:r>
        <w:t xml:space="preserve"> the field of evidence synthesis software has grown rapidly</w:t>
      </w:r>
      <w:r w:rsidR="00243967" w:rsidRPr="00243967">
        <w:t xml:space="preserve"> </w:t>
      </w:r>
      <w:r w:rsidR="00243967">
        <w:t>in recent years</w:t>
      </w:r>
      <w:r>
        <w:t>,</w:t>
      </w:r>
      <w:r>
        <w:rPr>
          <w:vertAlign w:val="superscript"/>
        </w:rPr>
        <w:t>8</w:t>
      </w:r>
      <w:r>
        <w:t xml:space="preserve"> this growth has not been equally distributed across the different aspects of the systematic review process. For example, a recent review found several software offerings aimed </w:t>
      </w:r>
      <w:r w:rsidR="00AE0449">
        <w:t>specifically</w:t>
      </w:r>
      <w:r>
        <w:t xml:space="preserve"> at the abstract screening stage of the review process,</w:t>
      </w:r>
      <w:r>
        <w:rPr>
          <w:vertAlign w:val="superscript"/>
        </w:rPr>
        <w:t>9</w:t>
      </w:r>
      <w:r>
        <w:t xml:space="preserve"> but no similar time- and error-reducing tool has been proposed for </w:t>
      </w:r>
      <w:r w:rsidR="00AE0449">
        <w:t>visualizing</w:t>
      </w:r>
      <w:r>
        <w:t xml:space="preserve"> the results of risk-of-bias assessments.</w:t>
      </w:r>
    </w:p>
    <w:p w14:paraId="1CD878FB" w14:textId="3CC6084F" w:rsidR="005713ED" w:rsidRDefault="005713ED" w:rsidP="005713ED">
      <w:pPr>
        <w:pStyle w:val="BodyText"/>
      </w:pPr>
      <w:r>
        <w:t xml:space="preserve">Fortunately, tools such as R, RStudio and </w:t>
      </w:r>
      <w:r>
        <w:rPr>
          <w:rStyle w:val="VerbatimChar"/>
        </w:rPr>
        <w:t>Shiny</w:t>
      </w:r>
      <w:r>
        <w:t xml:space="preserve"> (an R package for building interactive web apps) have made it easier than ever to produce such a tool.</w:t>
      </w:r>
      <w:r>
        <w:rPr>
          <w:vertAlign w:val="superscript"/>
        </w:rPr>
        <w:t>10–12</w:t>
      </w:r>
      <w:r>
        <w:t xml:space="preserve"> Here, we present </w:t>
      </w:r>
      <w:r>
        <w:rPr>
          <w:rStyle w:val="VerbatimChar"/>
        </w:rPr>
        <w:t>robvis</w:t>
      </w:r>
      <w:r>
        <w:t xml:space="preserve"> (Risk Of Bias VISualiation), an R package and </w:t>
      </w:r>
      <w:r>
        <w:rPr>
          <w:rStyle w:val="VerbatimChar"/>
        </w:rPr>
        <w:t>Shiny</w:t>
      </w:r>
      <w:r>
        <w:t xml:space="preserve"> web-app that allows users to quickly create publication-ready risk-of-bias plots. </w:t>
      </w:r>
      <w:r w:rsidR="00243967">
        <w:t>O</w:t>
      </w:r>
      <w:r>
        <w:t xml:space="preserve">riginally </w:t>
      </w:r>
      <w:r w:rsidR="00243967">
        <w:t xml:space="preserve">created </w:t>
      </w:r>
      <w:r>
        <w:t>for use with the major risk</w:t>
      </w:r>
      <w:r w:rsidR="00243967">
        <w:t>-</w:t>
      </w:r>
      <w:r>
        <w:t>of</w:t>
      </w:r>
      <w:r w:rsidR="00243967">
        <w:t>-</w:t>
      </w:r>
      <w:r>
        <w:t xml:space="preserve">bias assessment tools used in epidemiology, the tool allows users to </w:t>
      </w:r>
      <w:r w:rsidR="00AE0449">
        <w:t>visualize</w:t>
      </w:r>
      <w:r>
        <w:t xml:space="preserve"> the results from any domain-based risk of bias assessment or quality appraisal tool.</w:t>
      </w:r>
    </w:p>
    <w:p w14:paraId="37A60429" w14:textId="3004303B" w:rsidR="005713ED" w:rsidRDefault="005713ED" w:rsidP="005713ED">
      <w:pPr>
        <w:pStyle w:val="BodyText"/>
      </w:pPr>
      <w:r>
        <w:t>The tool is open-source and available to use free of charge. Users can download a stable version of the R package from CRAN (</w:t>
      </w:r>
      <w:hyperlink r:id="rId8">
        <w:r>
          <w:rPr>
            <w:rStyle w:val="Hyperlink"/>
          </w:rPr>
          <w:t>https://cran.r-project.org/package=robvis</w:t>
        </w:r>
      </w:hyperlink>
      <w:r>
        <w:t>); or access and contribute to the development version via GitHub (</w:t>
      </w:r>
      <w:hyperlink r:id="rId9">
        <w:r>
          <w:rPr>
            <w:rStyle w:val="Hyperlink"/>
          </w:rPr>
          <w:t>https://github.com/mcguinlu/robvis</w:t>
        </w:r>
      </w:hyperlink>
      <w:r>
        <w:t xml:space="preserve">). Extended guidance for the tool is also available via </w:t>
      </w:r>
      <w:r>
        <w:lastRenderedPageBreak/>
        <w:t>the “Doing Meta-Analysis in R” online guide.</w:t>
      </w:r>
      <w:r>
        <w:rPr>
          <w:vertAlign w:val="superscript"/>
        </w:rPr>
        <w:t>13</w:t>
      </w:r>
      <w:r>
        <w:t xml:space="preserve"> Below, we discuss the tools development</w:t>
      </w:r>
      <w:r w:rsidR="00EA00B4">
        <w:t xml:space="preserve"> and </w:t>
      </w:r>
      <w:r>
        <w:t>key functionality.</w:t>
      </w:r>
    </w:p>
    <w:p w14:paraId="76FA5D9A" w14:textId="77777777" w:rsidR="005713ED" w:rsidRDefault="005713ED" w:rsidP="005713ED">
      <w:pPr>
        <w:pStyle w:val="Heading1"/>
      </w:pPr>
      <w:bookmarkStart w:id="7" w:name="development"/>
      <w:r>
        <w:t>Development</w:t>
      </w:r>
      <w:bookmarkEnd w:id="7"/>
    </w:p>
    <w:p w14:paraId="7DE5CC6F" w14:textId="77777777" w:rsidR="005713ED" w:rsidRDefault="005713ED" w:rsidP="005713ED">
      <w:pPr>
        <w:pStyle w:val="FirstParagraph"/>
      </w:pPr>
      <w:r>
        <w:t xml:space="preserve">Development of </w:t>
      </w:r>
      <w:r>
        <w:rPr>
          <w:rStyle w:val="VerbatimChar"/>
        </w:rPr>
        <w:t>robvis</w:t>
      </w:r>
      <w:r>
        <w:t xml:space="preserve"> began in April 2019 at the Evidence Synthesis Hackathon (ESH), an event which brings together interested researchers, practitioners and coders to discuss and develop new open-source evidence synthesis technologies. Testing versions of both the R package and the web app were made available in early June 2019, with attendees of the ESH and members of the evidence synthesis research group at the University of Bristol being invited to test the tool and provide feedback. This feedback, along with other feature suggestions from the wider evidence synthesis community captured via GitHub issues, was incorporated and the first release version of the package was uploaded to CRAN in November 2019. To date, the tool has been well received and is beginning to be cited in the evidence synthesis literature.</w:t>
      </w:r>
      <w:r>
        <w:rPr>
          <w:vertAlign w:val="superscript"/>
        </w:rPr>
        <w:t>14–16</w:t>
      </w:r>
      <w:r>
        <w:t>.</w:t>
      </w:r>
    </w:p>
    <w:p w14:paraId="73E0C950" w14:textId="77777777" w:rsidR="005713ED" w:rsidRDefault="005713ED" w:rsidP="005713ED">
      <w:pPr>
        <w:pStyle w:val="Heading1"/>
      </w:pPr>
      <w:bookmarkStart w:id="8" w:name="functionality"/>
      <w:r>
        <w:t>Functionality</w:t>
      </w:r>
      <w:bookmarkEnd w:id="8"/>
    </w:p>
    <w:p w14:paraId="1198002C" w14:textId="77777777" w:rsidR="005713ED" w:rsidRDefault="005713ED" w:rsidP="005713ED">
      <w:pPr>
        <w:pStyle w:val="Heading2"/>
      </w:pPr>
      <w:bookmarkStart w:id="9" w:name="r-package"/>
      <w:r>
        <w:t>R package</w:t>
      </w:r>
      <w:bookmarkEnd w:id="9"/>
    </w:p>
    <w:p w14:paraId="0F4B4013" w14:textId="77777777" w:rsidR="005713ED" w:rsidRDefault="005713ED" w:rsidP="005713ED">
      <w:pPr>
        <w:pStyle w:val="Heading3"/>
      </w:pPr>
      <w:bookmarkStart w:id="10" w:name="tool-templates-and-example-data-sets"/>
      <w:r>
        <w:t>Tool templates and example data sets</w:t>
      </w:r>
      <w:bookmarkEnd w:id="10"/>
    </w:p>
    <w:p w14:paraId="54E5D332" w14:textId="0097F811" w:rsidR="005713ED" w:rsidRDefault="005713ED" w:rsidP="005713ED">
      <w:pPr>
        <w:pStyle w:val="FirstParagraph"/>
      </w:pPr>
      <w:r>
        <w:t xml:space="preserve">The package works by using user-provided data to populate a </w:t>
      </w:r>
      <w:r w:rsidR="008075AC">
        <w:t>predefined template</w:t>
      </w:r>
      <w:r>
        <w:t xml:space="preserve"> specific to the assessment tool used. These templates automatically apply the correct </w:t>
      </w:r>
      <w:r w:rsidR="00243967">
        <w:t>risk-of-bias</w:t>
      </w:r>
      <w:r>
        <w:t xml:space="preserve"> domain names to the figure and label the judgement levels appropriately (e.g. “Low”, “Some Concerns”, “High” in the case of the ROB2 tool).</w:t>
      </w:r>
    </w:p>
    <w:p w14:paraId="0FE40B25" w14:textId="77777777" w:rsidR="005713ED" w:rsidRDefault="005713ED" w:rsidP="005713ED">
      <w:pPr>
        <w:pStyle w:val="BodyText"/>
      </w:pPr>
      <w:r>
        <w:t>Currently, the tool contains templates for three major tools: the Cochrane RoB2 tool for assessing randomised controlled trials,</w:t>
      </w:r>
      <w:r>
        <w:rPr>
          <w:vertAlign w:val="superscript"/>
        </w:rPr>
        <w:t>4</w:t>
      </w:r>
      <w:r>
        <w:t xml:space="preserve"> the ROBINS-I tool for assessing non-randomized studies of interventions,</w:t>
      </w:r>
      <w:r>
        <w:rPr>
          <w:vertAlign w:val="superscript"/>
        </w:rPr>
        <w:t>3</w:t>
      </w:r>
      <w:r>
        <w:t xml:space="preserve"> and the QUADAS-2 tool for assessing diagnostic accuracy studies.</w:t>
      </w:r>
      <w:r>
        <w:rPr>
          <w:vertAlign w:val="superscript"/>
        </w:rPr>
        <w:t>5</w:t>
      </w:r>
    </w:p>
    <w:p w14:paraId="3A8C4616" w14:textId="6F807DA6" w:rsidR="005713ED" w:rsidRDefault="005713ED" w:rsidP="005713ED">
      <w:pPr>
        <w:pStyle w:val="BodyText"/>
      </w:pPr>
      <w:r>
        <w:rPr>
          <w:rStyle w:val="VerbatimChar"/>
        </w:rPr>
        <w:t>robvis</w:t>
      </w:r>
      <w:r>
        <w:t xml:space="preserve"> also contains a general template that can be used to </w:t>
      </w:r>
      <w:r w:rsidR="001C68D4">
        <w:t>visualize</w:t>
      </w:r>
      <w:r>
        <w:t xml:space="preserve"> the result of any domain-based </w:t>
      </w:r>
      <w:r w:rsidR="001C68D4">
        <w:t>assessment</w:t>
      </w:r>
      <w:r>
        <w:t xml:space="preserve"> tool. This template has greater flexibility than the tool-specific templates, allowing a variable number of domains and custom domain titles to be used. However, we would dissuade authors from viewing this as a means to create </w:t>
      </w:r>
      <w:r w:rsidR="001C68D4">
        <w:t>visualizations</w:t>
      </w:r>
      <w:r>
        <w:t xml:space="preserve"> of assessments performed using adjusted versions of the tools listed above (e.g. with one or more columns removed/added).</w:t>
      </w:r>
    </w:p>
    <w:p w14:paraId="326983F3" w14:textId="409605D6" w:rsidR="005713ED" w:rsidRDefault="005713ED" w:rsidP="005713ED">
      <w:pPr>
        <w:pStyle w:val="BodyText"/>
      </w:pPr>
      <w:r>
        <w:t xml:space="preserve">In order to help users </w:t>
      </w:r>
      <w:r w:rsidR="001C68D4">
        <w:t>familiarize</w:t>
      </w:r>
      <w:r>
        <w:t xml:space="preserve"> themselves with the package and its functionality, </w:t>
      </w:r>
      <w:r>
        <w:rPr>
          <w:rStyle w:val="VerbatimChar"/>
        </w:rPr>
        <w:t>robvis</w:t>
      </w:r>
      <w:r>
        <w:t xml:space="preserve"> contains built-in example datasets for each template, and for illustrative purposes, the example data for the RoB2 tool for assessing risk of bias in randomised controlled trials is presented in Table 1.</w:t>
      </w:r>
    </w:p>
    <w:p w14:paraId="14F7BF79" w14:textId="77777777" w:rsidR="005713ED" w:rsidRDefault="005713ED" w:rsidP="005713ED">
      <w:pPr>
        <w:pStyle w:val="Heading3"/>
      </w:pPr>
      <w:bookmarkStart w:id="11" w:name="data-import-and-cleaning"/>
      <w:r>
        <w:t>Data import and cleaning</w:t>
      </w:r>
      <w:bookmarkEnd w:id="11"/>
    </w:p>
    <w:p w14:paraId="7F792F4A" w14:textId="0B6ACB2B" w:rsidR="005713ED" w:rsidRDefault="005713ED" w:rsidP="005713ED">
      <w:pPr>
        <w:pStyle w:val="FirstParagraph"/>
      </w:pPr>
      <w:r>
        <w:rPr>
          <w:rStyle w:val="VerbatimChar"/>
        </w:rPr>
        <w:t>robvis</w:t>
      </w:r>
      <w:r>
        <w:t xml:space="preserve"> expects certain facts about the </w:t>
      </w:r>
      <w:r w:rsidR="00243967">
        <w:t>risk-of-bias</w:t>
      </w:r>
      <w:r>
        <w:t xml:space="preserve"> summary table we provide it (see Table 1 for an example of a correctly formatted data set). The first column should contain the </w:t>
      </w:r>
      <w:r>
        <w:lastRenderedPageBreak/>
        <w:t xml:space="preserve">unique study/result identifier. The second-to-last column should contain the overall </w:t>
      </w:r>
      <w:r w:rsidR="00243967">
        <w:t>risk-of-bias</w:t>
      </w:r>
      <w:r>
        <w:t xml:space="preserve"> judgements. The final column contains the weights (e.g. study precision or the weight assigned in a meta-</w:t>
      </w:r>
      <w:r w:rsidR="001C68D4">
        <w:t>analysis</w:t>
      </w:r>
      <w:r>
        <w:t xml:space="preserve">). This weight column is used to create the summary </w:t>
      </w:r>
      <w:r w:rsidR="001C68D4">
        <w:t>bar plot</w:t>
      </w:r>
      <w:r>
        <w:t>, as current guidance recommends dividing the bars to show the proportion of information at each level of risk of bias, determined by the cumulative weight at that level, rather than simply showing the number of studies in each category.</w:t>
      </w:r>
      <w:r>
        <w:rPr>
          <w:vertAlign w:val="superscript"/>
        </w:rPr>
        <w:t>17</w:t>
      </w:r>
    </w:p>
    <w:p w14:paraId="67181BC6" w14:textId="1C945448" w:rsidR="005713ED" w:rsidRDefault="005713ED" w:rsidP="005713ED">
      <w:pPr>
        <w:pStyle w:val="BodyText"/>
      </w:pPr>
      <w:r>
        <w:t xml:space="preserve">Once imported, robvis cleans the data, corrects for small spelling errors by </w:t>
      </w:r>
      <w:r w:rsidR="001C68D4">
        <w:t>converting</w:t>
      </w:r>
      <w:r>
        <w:t xml:space="preserve"> each judgement to lowercase and taking only the first letter (e.g. “Seriuos” becomes “s”, avoiding a potential error from the misspelling), and converts the summary table to a </w:t>
      </w:r>
      <w:r>
        <w:rPr>
          <w:i/>
        </w:rPr>
        <w:t>long tidy format</w:t>
      </w:r>
      <w:r>
        <w:t xml:space="preserve"> to aid in creating the plots.</w:t>
      </w:r>
    </w:p>
    <w:p w14:paraId="22EE585E" w14:textId="77777777" w:rsidR="005713ED" w:rsidRDefault="005713ED" w:rsidP="005713ED">
      <w:pPr>
        <w:pStyle w:val="Heading3"/>
      </w:pPr>
      <w:bookmarkStart w:id="12" w:name="functions"/>
      <w:r>
        <w:t>Functions</w:t>
      </w:r>
      <w:bookmarkEnd w:id="12"/>
    </w:p>
    <w:p w14:paraId="2CC0D508" w14:textId="400DA360" w:rsidR="005713ED" w:rsidRDefault="005713ED" w:rsidP="005713ED">
      <w:pPr>
        <w:pStyle w:val="FirstParagraph"/>
      </w:pPr>
      <w:r>
        <w:rPr>
          <w:rStyle w:val="VerbatimChar"/>
        </w:rPr>
        <w:t>robvis</w:t>
      </w:r>
      <w:r>
        <w:t xml:space="preserve"> contains two main functions. The first, </w:t>
      </w:r>
      <w:r>
        <w:rPr>
          <w:rStyle w:val="VerbatimChar"/>
        </w:rPr>
        <w:t>rob_summary()</w:t>
      </w:r>
      <w:r>
        <w:t xml:space="preserve">, creates a weighted </w:t>
      </w:r>
      <w:r w:rsidR="001C68D4">
        <w:t>bar plot</w:t>
      </w:r>
      <w:r>
        <w:t xml:space="preserve"> showing the proportion of information with each judgement for each domain in the assessment tool specified. The second, </w:t>
      </w:r>
      <w:r>
        <w:rPr>
          <w:rStyle w:val="VerbatimChar"/>
        </w:rPr>
        <w:t>rob_traffic_light()</w:t>
      </w:r>
      <w:r>
        <w:t>, creates a traffic light plot by tabulating each study by each domain, providing a more detailed view of the results of the risk-of-bias assessment.</w:t>
      </w:r>
    </w:p>
    <w:p w14:paraId="7CB9674C" w14:textId="77777777" w:rsidR="005713ED" w:rsidRDefault="005713ED" w:rsidP="005713ED">
      <w:pPr>
        <w:pStyle w:val="BodyText"/>
      </w:pPr>
      <w:r>
        <w:t xml:space="preserve">A worked example using these functions is outlined below, showing the ease with which risk-of-bias plots can be created using </w:t>
      </w:r>
      <w:r>
        <w:rPr>
          <w:rStyle w:val="VerbatimChar"/>
        </w:rPr>
        <w:t>robvis</w:t>
      </w:r>
      <w:r>
        <w:t>, while a detailed description of the additional options that can be used with each function is presented in Table 2. Please note that all examples produced here are created using the stable version available from CRAN.</w:t>
      </w:r>
    </w:p>
    <w:p w14:paraId="6FBCD52E" w14:textId="77777777" w:rsidR="005713ED" w:rsidRDefault="005713ED" w:rsidP="005713ED">
      <w:pPr>
        <w:pStyle w:val="BodyText"/>
      </w:pPr>
      <w:r>
        <w:t>First, install and load the package:</w:t>
      </w:r>
    </w:p>
    <w:p w14:paraId="3A4B283E" w14:textId="77777777" w:rsidR="005713ED" w:rsidRDefault="005713ED" w:rsidP="005713ED">
      <w:pPr>
        <w:pStyle w:val="BodyText"/>
      </w:pPr>
      <w:r>
        <w:t> </w:t>
      </w:r>
    </w:p>
    <w:p w14:paraId="7053A6F7" w14:textId="3277F911" w:rsidR="005713ED" w:rsidRDefault="00171FAC" w:rsidP="005713ED">
      <w:pPr>
        <w:pStyle w:val="SourceCode"/>
      </w:pPr>
      <w:r>
        <w:rPr>
          <w:rStyle w:val="KeywordTok"/>
        </w:rPr>
        <w:t xml:space="preserve">    </w:t>
      </w:r>
      <w:r w:rsidR="005713ED">
        <w:rPr>
          <w:rStyle w:val="KeywordTok"/>
        </w:rPr>
        <w:t>install.packages</w:t>
      </w:r>
      <w:r w:rsidR="005713ED">
        <w:rPr>
          <w:rStyle w:val="NormalTok"/>
        </w:rPr>
        <w:t>(</w:t>
      </w:r>
      <w:r w:rsidR="005713ED">
        <w:rPr>
          <w:rStyle w:val="StringTok"/>
        </w:rPr>
        <w:t>"robvis"</w:t>
      </w:r>
      <w:r w:rsidR="005713ED">
        <w:rPr>
          <w:rStyle w:val="NormalTok"/>
        </w:rPr>
        <w:t>)</w:t>
      </w:r>
      <w:r w:rsidR="005713ED">
        <w:br/>
      </w:r>
      <w:r w:rsidR="005713ED">
        <w:br/>
      </w:r>
      <w:r>
        <w:rPr>
          <w:rStyle w:val="KeywordTok"/>
        </w:rPr>
        <w:t xml:space="preserve">    </w:t>
      </w:r>
      <w:r w:rsidR="005713ED">
        <w:rPr>
          <w:rStyle w:val="KeywordTok"/>
        </w:rPr>
        <w:t>library</w:t>
      </w:r>
      <w:r w:rsidR="005713ED">
        <w:rPr>
          <w:rStyle w:val="NormalTok"/>
        </w:rPr>
        <w:t>(robvis)</w:t>
      </w:r>
    </w:p>
    <w:p w14:paraId="543946C4" w14:textId="77777777" w:rsidR="005713ED" w:rsidRDefault="005713ED" w:rsidP="005713ED">
      <w:pPr>
        <w:pStyle w:val="FirstParagraph"/>
      </w:pPr>
      <w:r>
        <w:t> </w:t>
      </w:r>
    </w:p>
    <w:p w14:paraId="345CC2EB" w14:textId="3CD59431" w:rsidR="005713ED" w:rsidRDefault="005713ED" w:rsidP="005713ED">
      <w:pPr>
        <w:pStyle w:val="BodyText"/>
      </w:pPr>
      <w:r>
        <w:t>Using the example data set (</w:t>
      </w:r>
      <w:r>
        <w:rPr>
          <w:rStyle w:val="VerbatimChar"/>
        </w:rPr>
        <w:t>data_rob2</w:t>
      </w:r>
      <w:r>
        <w:t xml:space="preserve">) which is built into the package and is presented in Table 1 for reference, the summary </w:t>
      </w:r>
      <w:r w:rsidR="00F47E82">
        <w:t>bar plot</w:t>
      </w:r>
      <w:r>
        <w:t xml:space="preserve"> shown in Figure 1 is created using the following code:</w:t>
      </w:r>
    </w:p>
    <w:p w14:paraId="65AE728F" w14:textId="77777777" w:rsidR="005713ED" w:rsidRDefault="005713ED" w:rsidP="005713ED">
      <w:pPr>
        <w:pStyle w:val="BodyText"/>
      </w:pPr>
      <w:r>
        <w:t> </w:t>
      </w:r>
    </w:p>
    <w:p w14:paraId="706DB2D6" w14:textId="77777777" w:rsidR="005713ED" w:rsidRDefault="005713ED" w:rsidP="005713ED">
      <w:pPr>
        <w:pStyle w:val="SourceCode"/>
      </w:pPr>
      <w:r>
        <w:rPr>
          <w:rStyle w:val="NormalTok"/>
        </w:rPr>
        <w:t xml:space="preserve">    </w:t>
      </w:r>
      <w:r>
        <w:rPr>
          <w:rStyle w:val="KeywordTok"/>
        </w:rPr>
        <w:t>rob_summary</w:t>
      </w:r>
      <w:r>
        <w:rPr>
          <w:rStyle w:val="NormalTok"/>
        </w:rPr>
        <w:t>(</w:t>
      </w:r>
      <w:r>
        <w:rPr>
          <w:rStyle w:val="DataTypeTok"/>
        </w:rPr>
        <w:t>data =</w:t>
      </w:r>
      <w:r>
        <w:rPr>
          <w:rStyle w:val="NormalTok"/>
        </w:rPr>
        <w:t xml:space="preserve"> data_rob2,</w:t>
      </w:r>
      <w:r>
        <w:br/>
      </w:r>
      <w:r>
        <w:rPr>
          <w:rStyle w:val="NormalTok"/>
        </w:rPr>
        <w:t xml:space="preserve">                </w:t>
      </w:r>
      <w:r>
        <w:rPr>
          <w:rStyle w:val="DataTypeTok"/>
        </w:rPr>
        <w:t>tool =</w:t>
      </w:r>
      <w:r>
        <w:rPr>
          <w:rStyle w:val="NormalTok"/>
        </w:rPr>
        <w:t xml:space="preserve"> </w:t>
      </w:r>
      <w:r>
        <w:rPr>
          <w:rStyle w:val="StringTok"/>
        </w:rPr>
        <w:t>"ROB2"</w:t>
      </w:r>
      <w:r>
        <w:rPr>
          <w:rStyle w:val="NormalTok"/>
        </w:rPr>
        <w:t xml:space="preserve">, </w:t>
      </w:r>
      <w:r>
        <w:br/>
      </w:r>
      <w:r>
        <w:rPr>
          <w:rStyle w:val="NormalTok"/>
        </w:rPr>
        <w:t xml:space="preserve">                </w:t>
      </w:r>
      <w:r>
        <w:rPr>
          <w:rStyle w:val="DataTypeTok"/>
        </w:rPr>
        <w:t>overall =</w:t>
      </w:r>
      <w:r>
        <w:rPr>
          <w:rStyle w:val="NormalTok"/>
        </w:rPr>
        <w:t xml:space="preserve"> </w:t>
      </w:r>
      <w:r>
        <w:rPr>
          <w:rStyle w:val="OtherTok"/>
        </w:rPr>
        <w:t>TRUE</w:t>
      </w:r>
      <w:r>
        <w:rPr>
          <w:rStyle w:val="NormalTok"/>
        </w:rPr>
        <w:t>)</w:t>
      </w:r>
    </w:p>
    <w:p w14:paraId="3B72A23F" w14:textId="77777777" w:rsidR="005713ED" w:rsidRDefault="005713ED" w:rsidP="005713ED">
      <w:pPr>
        <w:pStyle w:val="FirstParagraph"/>
      </w:pPr>
      <w:r>
        <w:t> </w:t>
      </w:r>
    </w:p>
    <w:p w14:paraId="37C710F2" w14:textId="706005B0" w:rsidR="005713ED" w:rsidRDefault="00F47E82" w:rsidP="005713ED">
      <w:pPr>
        <w:pStyle w:val="BodyText"/>
      </w:pPr>
      <w:r>
        <w:t>Similarly</w:t>
      </w:r>
      <w:r w:rsidR="005713ED">
        <w:t>, using the same data set, the traffic light plot shown in Figure 2 is created using:</w:t>
      </w:r>
    </w:p>
    <w:p w14:paraId="6AE1E762" w14:textId="77777777" w:rsidR="005713ED" w:rsidRDefault="005713ED" w:rsidP="005713ED">
      <w:pPr>
        <w:pStyle w:val="BodyText"/>
      </w:pPr>
      <w:r>
        <w:t> </w:t>
      </w:r>
    </w:p>
    <w:p w14:paraId="777681C6" w14:textId="77777777" w:rsidR="005713ED" w:rsidRDefault="005713ED" w:rsidP="005713ED">
      <w:pPr>
        <w:pStyle w:val="SourceCode"/>
      </w:pPr>
      <w:r>
        <w:rPr>
          <w:rStyle w:val="NormalTok"/>
        </w:rPr>
        <w:t xml:space="preserve">    </w:t>
      </w:r>
      <w:r>
        <w:rPr>
          <w:rStyle w:val="KeywordTok"/>
        </w:rPr>
        <w:t>rob_traffic_light</w:t>
      </w:r>
      <w:r>
        <w:rPr>
          <w:rStyle w:val="NormalTok"/>
        </w:rPr>
        <w:t>(</w:t>
      </w:r>
      <w:r>
        <w:rPr>
          <w:rStyle w:val="DataTypeTok"/>
        </w:rPr>
        <w:t>data =</w:t>
      </w:r>
      <w:r>
        <w:rPr>
          <w:rStyle w:val="NormalTok"/>
        </w:rPr>
        <w:t xml:space="preserve"> data_rob2,</w:t>
      </w:r>
      <w:r>
        <w:br/>
      </w:r>
      <w:r>
        <w:rPr>
          <w:rStyle w:val="NormalTok"/>
        </w:rPr>
        <w:t xml:space="preserve">                      </w:t>
      </w:r>
      <w:r>
        <w:rPr>
          <w:rStyle w:val="DataTypeTok"/>
        </w:rPr>
        <w:t>tool =</w:t>
      </w:r>
      <w:r>
        <w:rPr>
          <w:rStyle w:val="NormalTok"/>
        </w:rPr>
        <w:t xml:space="preserve"> </w:t>
      </w:r>
      <w:r>
        <w:rPr>
          <w:rStyle w:val="StringTok"/>
        </w:rPr>
        <w:t>"ROB2"</w:t>
      </w:r>
      <w:r>
        <w:rPr>
          <w:rStyle w:val="NormalTok"/>
        </w:rPr>
        <w:t>,</w:t>
      </w:r>
      <w:r>
        <w:br/>
      </w:r>
      <w:r>
        <w:rPr>
          <w:rStyle w:val="NormalTok"/>
        </w:rPr>
        <w:lastRenderedPageBreak/>
        <w:t xml:space="preserve">                      </w:t>
      </w:r>
      <w:r>
        <w:rPr>
          <w:rStyle w:val="DataTypeTok"/>
        </w:rPr>
        <w:t>colour =</w:t>
      </w:r>
      <w:r>
        <w:rPr>
          <w:rStyle w:val="NormalTok"/>
        </w:rPr>
        <w:t xml:space="preserve"> </w:t>
      </w:r>
      <w:r>
        <w:rPr>
          <w:rStyle w:val="StringTok"/>
        </w:rPr>
        <w:t>"colourblind"</w:t>
      </w:r>
      <w:r>
        <w:rPr>
          <w:rStyle w:val="NormalTok"/>
        </w:rPr>
        <w:t xml:space="preserve">, </w:t>
      </w:r>
      <w:r>
        <w:br/>
      </w:r>
      <w:r>
        <w:rPr>
          <w:rStyle w:val="NormalTok"/>
        </w:rPr>
        <w:t xml:space="preserve">                      </w:t>
      </w:r>
      <w:r>
        <w:rPr>
          <w:rStyle w:val="DataTypeTok"/>
        </w:rPr>
        <w:t>psize =</w:t>
      </w:r>
      <w:r>
        <w:rPr>
          <w:rStyle w:val="NormalTok"/>
        </w:rPr>
        <w:t xml:space="preserve"> </w:t>
      </w:r>
      <w:r>
        <w:rPr>
          <w:rStyle w:val="DecValTok"/>
        </w:rPr>
        <w:t>15</w:t>
      </w:r>
      <w:r>
        <w:rPr>
          <w:rStyle w:val="NormalTok"/>
        </w:rPr>
        <w:t>)</w:t>
      </w:r>
    </w:p>
    <w:p w14:paraId="185D8DC8" w14:textId="77777777" w:rsidR="005713ED" w:rsidRDefault="005713ED" w:rsidP="005713ED">
      <w:pPr>
        <w:pStyle w:val="FirstParagraph"/>
      </w:pPr>
      <w:r>
        <w:t> </w:t>
      </w:r>
    </w:p>
    <w:p w14:paraId="5814E714" w14:textId="2A44E8CC" w:rsidR="005713ED" w:rsidRDefault="005713ED" w:rsidP="005713ED">
      <w:pPr>
        <w:pStyle w:val="Heading3"/>
      </w:pPr>
      <w:bookmarkStart w:id="13" w:name="further-customisation"/>
      <w:r>
        <w:t xml:space="preserve">Further </w:t>
      </w:r>
      <w:bookmarkEnd w:id="13"/>
      <w:r w:rsidR="00F47E82">
        <w:t>customization</w:t>
      </w:r>
    </w:p>
    <w:p w14:paraId="34F1D7A9" w14:textId="0F0DF983" w:rsidR="005713ED" w:rsidRDefault="005713ED" w:rsidP="005713ED">
      <w:pPr>
        <w:pStyle w:val="FirstParagraph"/>
      </w:pPr>
      <w:r>
        <w:t xml:space="preserve">The </w:t>
      </w:r>
      <w:r>
        <w:rPr>
          <w:rStyle w:val="VerbatimChar"/>
        </w:rPr>
        <w:t>ggplot2</w:t>
      </w:r>
      <w:r>
        <w:t xml:space="preserve"> package in R, based on the “The </w:t>
      </w:r>
      <w:r w:rsidR="00F47E82">
        <w:t>Grammar</w:t>
      </w:r>
      <w:r>
        <w:t xml:space="preserve"> of Graphics”, allows users to readily create detailed </w:t>
      </w:r>
      <w:r w:rsidR="00F47E82">
        <w:t>graphics</w:t>
      </w:r>
      <w:r>
        <w:t xml:space="preserve"> using a declarative framework and was used to create the templates found in </w:t>
      </w:r>
      <w:r>
        <w:rPr>
          <w:rStyle w:val="VerbatimChar"/>
        </w:rPr>
        <w:t>robvis</w:t>
      </w:r>
      <w:r>
        <w:t>.</w:t>
      </w:r>
      <w:r>
        <w:rPr>
          <w:vertAlign w:val="superscript"/>
        </w:rPr>
        <w:t>18,19</w:t>
      </w:r>
      <w:r>
        <w:t xml:space="preserve"> As a result, both </w:t>
      </w:r>
      <w:r>
        <w:rPr>
          <w:rStyle w:val="VerbatimChar"/>
        </w:rPr>
        <w:t>robvis</w:t>
      </w:r>
      <w:r>
        <w:t xml:space="preserve"> functions return a </w:t>
      </w:r>
      <w:r>
        <w:rPr>
          <w:rStyle w:val="VerbatimChar"/>
        </w:rPr>
        <w:t>ggplot</w:t>
      </w:r>
      <w:r>
        <w:t xml:space="preserve"> object, meaning they can be easily </w:t>
      </w:r>
      <w:r w:rsidR="00F47E82">
        <w:t>customized</w:t>
      </w:r>
      <w:r>
        <w:t xml:space="preserve"> further using the </w:t>
      </w:r>
      <w:r>
        <w:rPr>
          <w:rStyle w:val="VerbatimChar"/>
        </w:rPr>
        <w:t>ggplot2</w:t>
      </w:r>
      <w:r>
        <w:t xml:space="preserve"> framework. For example, to add a title to the summary bar plot:</w:t>
      </w:r>
      <w:bookmarkStart w:id="14" w:name="_GoBack"/>
      <w:bookmarkEnd w:id="14"/>
    </w:p>
    <w:p w14:paraId="3CEB4FBA" w14:textId="77777777" w:rsidR="005713ED" w:rsidRDefault="005713ED" w:rsidP="005713ED">
      <w:pPr>
        <w:pStyle w:val="BodyText"/>
      </w:pPr>
      <w:r>
        <w:t> </w:t>
      </w:r>
    </w:p>
    <w:p w14:paraId="2A5E6A8A" w14:textId="77777777" w:rsidR="005713ED" w:rsidRDefault="005713ED" w:rsidP="005713ED">
      <w:pPr>
        <w:pStyle w:val="SourceCode"/>
      </w:pPr>
      <w:r>
        <w:rPr>
          <w:rStyle w:val="NormalTok"/>
        </w:rPr>
        <w:t xml:space="preserve">    </w:t>
      </w:r>
      <w:r>
        <w:rPr>
          <w:rStyle w:val="KeywordTok"/>
        </w:rPr>
        <w:t>library</w:t>
      </w:r>
      <w:r>
        <w:rPr>
          <w:rStyle w:val="NormalTok"/>
        </w:rPr>
        <w:t>(ggplot2)</w:t>
      </w:r>
      <w:r>
        <w:br/>
      </w:r>
      <w:r>
        <w:rPr>
          <w:rStyle w:val="NormalTok"/>
        </w:rPr>
        <w:t xml:space="preserve">    </w:t>
      </w:r>
      <w:r>
        <w:br/>
      </w:r>
      <w:r>
        <w:rPr>
          <w:rStyle w:val="NormalTok"/>
        </w:rPr>
        <w:t xml:space="preserve">    </w:t>
      </w:r>
      <w:r>
        <w:br/>
      </w:r>
      <w:r>
        <w:rPr>
          <w:rStyle w:val="NormalTok"/>
        </w:rPr>
        <w:t xml:space="preserve">    plot &lt;-</w:t>
      </w:r>
      <w:r>
        <w:rPr>
          <w:rStyle w:val="StringTok"/>
        </w:rPr>
        <w:t xml:space="preserve"> </w:t>
      </w:r>
      <w:r>
        <w:rPr>
          <w:rStyle w:val="KeywordTok"/>
        </w:rPr>
        <w:t>rob_summary</w:t>
      </w:r>
      <w:r>
        <w:rPr>
          <w:rStyle w:val="NormalTok"/>
        </w:rPr>
        <w:t xml:space="preserve">(data_rob2, </w:t>
      </w:r>
      <w:r>
        <w:rPr>
          <w:rStyle w:val="DataTypeTok"/>
        </w:rPr>
        <w:t>tool =</w:t>
      </w:r>
      <w:r>
        <w:rPr>
          <w:rStyle w:val="NormalTok"/>
        </w:rPr>
        <w:t xml:space="preserve"> </w:t>
      </w:r>
      <w:r>
        <w:rPr>
          <w:rStyle w:val="StringTok"/>
        </w:rPr>
        <w:t>"ROB2"</w:t>
      </w:r>
      <w:r>
        <w:rPr>
          <w:rStyle w:val="NormalTok"/>
        </w:rPr>
        <w:t>)</w:t>
      </w:r>
      <w:r>
        <w:br/>
      </w:r>
      <w:r>
        <w:rPr>
          <w:rStyle w:val="NormalTok"/>
        </w:rPr>
        <w:t xml:space="preserve">    </w:t>
      </w:r>
      <w:r>
        <w:br/>
      </w:r>
      <w:r>
        <w:rPr>
          <w:rStyle w:val="NormalTok"/>
        </w:rPr>
        <w:t xml:space="preserve">    plot </w:t>
      </w:r>
      <w:r>
        <w:rPr>
          <w:rStyle w:val="OperatorTok"/>
        </w:rPr>
        <w:t>+</w:t>
      </w:r>
      <w:r>
        <w:br/>
      </w:r>
      <w:r>
        <w:rPr>
          <w:rStyle w:val="StringTok"/>
        </w:rPr>
        <w:t xml:space="preserve">    </w:t>
      </w:r>
      <w:r>
        <w:rPr>
          <w:rStyle w:val="KeywordTok"/>
        </w:rPr>
        <w:t>ggtitle</w:t>
      </w:r>
      <w:r>
        <w:rPr>
          <w:rStyle w:val="NormalTok"/>
        </w:rPr>
        <w:t>(</w:t>
      </w:r>
      <w:r>
        <w:rPr>
          <w:rStyle w:val="StringTok"/>
        </w:rPr>
        <w:t>"Summary Bar Plot"</w:t>
      </w:r>
      <w:r>
        <w:rPr>
          <w:rStyle w:val="NormalTok"/>
        </w:rPr>
        <w:t>)</w:t>
      </w:r>
    </w:p>
    <w:p w14:paraId="0329ED0E" w14:textId="77777777" w:rsidR="005713ED" w:rsidRDefault="005713ED" w:rsidP="005713ED">
      <w:pPr>
        <w:pStyle w:val="FirstParagraph"/>
      </w:pPr>
      <w:r>
        <w:t> </w:t>
      </w:r>
    </w:p>
    <w:p w14:paraId="7A77D90C" w14:textId="1721AFC5" w:rsidR="005713ED" w:rsidRDefault="005713ED" w:rsidP="005713ED">
      <w:pPr>
        <w:pStyle w:val="BodyText"/>
      </w:pPr>
      <w:r>
        <w:t xml:space="preserve">A full discussion of the range of post-production </w:t>
      </w:r>
      <w:r w:rsidR="00F47E82">
        <w:t>modifications</w:t>
      </w:r>
      <w:r>
        <w:t xml:space="preserve"> that can be made to the plots via the </w:t>
      </w:r>
      <w:r>
        <w:rPr>
          <w:rStyle w:val="VerbatimChar"/>
        </w:rPr>
        <w:t>ggplot2</w:t>
      </w:r>
      <w:r>
        <w:t xml:space="preserve"> package is beyond the scope of this article, though interested readers are directed towards the extensive guidance available.</w:t>
      </w:r>
      <w:r>
        <w:rPr>
          <w:vertAlign w:val="superscript"/>
        </w:rPr>
        <w:t>19</w:t>
      </w:r>
    </w:p>
    <w:p w14:paraId="62CE8C95" w14:textId="77777777" w:rsidR="005713ED" w:rsidRDefault="005713ED" w:rsidP="005713ED">
      <w:pPr>
        <w:pStyle w:val="Heading2"/>
      </w:pPr>
      <w:bookmarkStart w:id="15" w:name="shiny-web-app"/>
      <w:r>
        <w:rPr>
          <w:rStyle w:val="VerbatimChar"/>
        </w:rPr>
        <w:t>Shiny</w:t>
      </w:r>
      <w:r>
        <w:t xml:space="preserve"> web app</w:t>
      </w:r>
      <w:bookmarkEnd w:id="15"/>
    </w:p>
    <w:p w14:paraId="28F41E33" w14:textId="77777777" w:rsidR="005713ED" w:rsidRDefault="005713ED" w:rsidP="005713ED">
      <w:pPr>
        <w:pStyle w:val="FirstParagraph"/>
      </w:pPr>
      <w:r>
        <w:t xml:space="preserve">Although </w:t>
      </w:r>
      <w:r>
        <w:rPr>
          <w:rStyle w:val="VerbatimChar"/>
        </w:rPr>
        <w:t>robvis</w:t>
      </w:r>
      <w:r>
        <w:t xml:space="preserve"> was originally designed for use in the command-line–based R programming environment, in order to make the tool available to those without knowledge of R, </w:t>
      </w:r>
      <w:r>
        <w:rPr>
          <w:rStyle w:val="VerbatimChar"/>
        </w:rPr>
        <w:t>robvis</w:t>
      </w:r>
      <w:r>
        <w:t xml:space="preserve"> also exists as a web-app, available via www.riskofbias.info/.</w:t>
      </w:r>
      <w:r>
        <w:rPr>
          <w:vertAlign w:val="superscript"/>
        </w:rPr>
        <w:t>20</w:t>
      </w:r>
    </w:p>
    <w:p w14:paraId="38375DD9" w14:textId="19D6E120" w:rsidR="005713ED" w:rsidRDefault="005713ED" w:rsidP="005713ED">
      <w:pPr>
        <w:pStyle w:val="BodyText"/>
      </w:pPr>
      <w:r>
        <w:t xml:space="preserve">The app was built using </w:t>
      </w:r>
      <w:r>
        <w:rPr>
          <w:rStyle w:val="VerbatimChar"/>
        </w:rPr>
        <w:t>Shiny</w:t>
      </w:r>
      <w:r>
        <w:t>,</w:t>
      </w:r>
      <w:r>
        <w:rPr>
          <w:vertAlign w:val="superscript"/>
        </w:rPr>
        <w:t>11</w:t>
      </w:r>
      <w:r>
        <w:t xml:space="preserve"> a R package which makes it easy to produce interactive web-apps, and provides a Graphical User Interface (GUI) for </w:t>
      </w:r>
      <w:r w:rsidR="009739C0">
        <w:t>the</w:t>
      </w:r>
      <w:r>
        <w:t xml:space="preserve"> </w:t>
      </w:r>
      <w:r>
        <w:rPr>
          <w:rStyle w:val="VerbatimChar"/>
        </w:rPr>
        <w:t>robvis</w:t>
      </w:r>
      <w:r w:rsidR="009739C0" w:rsidRPr="009739C0">
        <w:t xml:space="preserve"> package</w:t>
      </w:r>
      <w:r>
        <w:t>, allowing users to interact with the functions presented above without the need to download R or type any commands. Users can upload their data, choose the tool they used to perform the assessments, select a colour scheme, and define other parameters depending on whether they are producing a traffic light or summary bar plot, all through the online app.</w:t>
      </w:r>
    </w:p>
    <w:p w14:paraId="3ACC2A48" w14:textId="77777777" w:rsidR="000172FC" w:rsidRDefault="000172FC">
      <w:pPr>
        <w:rPr>
          <w:rFonts w:asciiTheme="majorHAnsi" w:eastAsiaTheme="majorEastAsia" w:hAnsiTheme="majorHAnsi" w:cstheme="majorBidi"/>
          <w:b/>
          <w:bCs/>
          <w:sz w:val="32"/>
          <w:szCs w:val="32"/>
        </w:rPr>
      </w:pPr>
      <w:bookmarkStart w:id="16" w:name="discussion"/>
      <w:r>
        <w:br w:type="page"/>
      </w:r>
    </w:p>
    <w:p w14:paraId="3F182712" w14:textId="6D824CE0" w:rsidR="005713ED" w:rsidRDefault="005713ED" w:rsidP="005713ED">
      <w:pPr>
        <w:pStyle w:val="Heading1"/>
      </w:pPr>
      <w:r>
        <w:t>Discussion</w:t>
      </w:r>
      <w:bookmarkEnd w:id="16"/>
    </w:p>
    <w:p w14:paraId="1C9FC431" w14:textId="472EB3E5" w:rsidR="005713ED" w:rsidRDefault="005713ED" w:rsidP="005713ED">
      <w:pPr>
        <w:pStyle w:val="FirstParagraph"/>
      </w:pPr>
      <w:r>
        <w:rPr>
          <w:rStyle w:val="VerbatimChar"/>
        </w:rPr>
        <w:t>robvis</w:t>
      </w:r>
      <w:r>
        <w:t xml:space="preserve"> enables evidence synthesists with varying levels of ability in R to quickly produce two common </w:t>
      </w:r>
      <w:r w:rsidR="00243967">
        <w:t>risk-of-bias</w:t>
      </w:r>
      <w:r>
        <w:t xml:space="preserve"> assessment figures at publication quality. While </w:t>
      </w:r>
      <w:r>
        <w:rPr>
          <w:rStyle w:val="VerbatimChar"/>
        </w:rPr>
        <w:t>robvis</w:t>
      </w:r>
      <w:r>
        <w:t xml:space="preserve"> is a stable package, there is a range of additional functionality that could be added. At present, the number of tools with a specific template included in </w:t>
      </w:r>
      <w:r>
        <w:rPr>
          <w:rStyle w:val="VerbatimChar"/>
        </w:rPr>
        <w:t>robvis</w:t>
      </w:r>
      <w:r>
        <w:t xml:space="preserve"> is limited - adding additional templates is a priority. For example, a template for ROBIS, a tool for assessing risk of bias in </w:t>
      </w:r>
      <w:r>
        <w:lastRenderedPageBreak/>
        <w:t>systematic reviews, is in developement.</w:t>
      </w:r>
      <w:r>
        <w:rPr>
          <w:vertAlign w:val="superscript"/>
        </w:rPr>
        <w:t>6</w:t>
      </w:r>
      <w:r>
        <w:t xml:space="preserve"> Additionally, the tool does not yet allow for the production of paired forest plots, where the </w:t>
      </w:r>
      <w:r w:rsidR="00243967">
        <w:t>risk-of-bias</w:t>
      </w:r>
      <w:r>
        <w:t xml:space="preserve"> judgement is presented alongside each specific result included in the meta-analysis.</w:t>
      </w:r>
      <w:r>
        <w:rPr>
          <w:vertAlign w:val="superscript"/>
        </w:rPr>
        <w:t>17</w:t>
      </w:r>
      <w:r>
        <w:t xml:space="preserve"> This was </w:t>
      </w:r>
      <w:r w:rsidR="00F47E82">
        <w:t>initially</w:t>
      </w:r>
      <w:r>
        <w:t xml:space="preserve"> considered to be beyond the scope of the tool, as it involves the </w:t>
      </w:r>
      <w:r w:rsidR="00F47E82">
        <w:t>visualization</w:t>
      </w:r>
      <w:r>
        <w:t xml:space="preserve"> of something other than </w:t>
      </w:r>
      <w:r w:rsidR="00243967">
        <w:t>risk-of-bias</w:t>
      </w:r>
      <w:r>
        <w:t xml:space="preserve"> assessments. However, following user-driven demand, this functionality is in development and will be available in the near future. Finally, we would like to add similar </w:t>
      </w:r>
      <w:r w:rsidR="00F47E82">
        <w:t>functionality</w:t>
      </w:r>
      <w:r>
        <w:t xml:space="preserve"> as that provided by the </w:t>
      </w:r>
      <w:r>
        <w:rPr>
          <w:rStyle w:val="VerbatimChar"/>
        </w:rPr>
        <w:t>metafor::reporter()</w:t>
      </w:r>
      <w:r>
        <w:t xml:space="preserve"> function, which generates a brief paragraph of text describing the results of a meta-analysis. The future </w:t>
      </w:r>
      <w:r>
        <w:rPr>
          <w:rStyle w:val="VerbatimChar"/>
        </w:rPr>
        <w:t>robvis::reporter()</w:t>
      </w:r>
      <w:r>
        <w:t xml:space="preserve"> function </w:t>
      </w:r>
      <w:r w:rsidR="004B1E39">
        <w:t xml:space="preserve">would </w:t>
      </w:r>
      <w:r>
        <w:t>provide a boilerplate description of the assessment tool used and the key domains at risk of bias.</w:t>
      </w:r>
    </w:p>
    <w:p w14:paraId="38365FCC" w14:textId="75618C6A" w:rsidR="005713ED" w:rsidRDefault="005713ED" w:rsidP="005713ED">
      <w:pPr>
        <w:pStyle w:val="BodyText"/>
      </w:pPr>
      <w:r>
        <w:rPr>
          <w:rStyle w:val="VerbatimChar"/>
        </w:rPr>
        <w:t>robvis</w:t>
      </w:r>
      <w:r>
        <w:t xml:space="preserve"> serves a good example of the advantages of “packaging” the R scripts that evidence synthesists </w:t>
      </w:r>
      <w:r w:rsidR="00014884">
        <w:t>often</w:t>
      </w:r>
      <w:r>
        <w:t xml:space="preserve"> create for personal use.</w:t>
      </w:r>
      <w:r>
        <w:rPr>
          <w:vertAlign w:val="superscript"/>
        </w:rPr>
        <w:t>21</w:t>
      </w:r>
      <w:r>
        <w:t xml:space="preserve"> For example, it is likely that several other evidence synthesists have written scripts to produce similar </w:t>
      </w:r>
      <w:r w:rsidR="00243967">
        <w:t>risk-of-bias</w:t>
      </w:r>
      <w:r>
        <w:t xml:space="preserve"> plots to those presented here - in fact, we personally know of at least one other research group that has done so. This duplication of time and effort is </w:t>
      </w:r>
      <w:r w:rsidR="008075AC">
        <w:t>inefficient and</w:t>
      </w:r>
      <w:r>
        <w:t xml:space="preserve"> creating and sharing well-documented R packages represents one way to reduce this inefficiency. Taking this approach one step further, </w:t>
      </w:r>
      <w:r>
        <w:rPr>
          <w:rStyle w:val="VerbatimChar"/>
        </w:rPr>
        <w:t>Shiny</w:t>
      </w:r>
      <w:r>
        <w:t xml:space="preserve"> apps represent a straightforward way to provide a user-friendly </w:t>
      </w:r>
      <w:r w:rsidR="00104AD5">
        <w:t>GUI</w:t>
      </w:r>
      <w:r>
        <w:t xml:space="preserve"> for a newly created </w:t>
      </w:r>
      <w:r w:rsidR="00104AD5">
        <w:t xml:space="preserve">R </w:t>
      </w:r>
      <w:r>
        <w:t>package within a very short timeframe, expanding the potential pool of users of the package to anyone with an internet connection.</w:t>
      </w:r>
    </w:p>
    <w:p w14:paraId="29E923A2" w14:textId="77777777" w:rsidR="005612F8" w:rsidRDefault="005713ED" w:rsidP="005713ED">
      <w:pPr>
        <w:pStyle w:val="BodyText"/>
        <w:rPr>
          <w:vertAlign w:val="superscript"/>
        </w:rPr>
      </w:pPr>
      <w:r>
        <w:t xml:space="preserve">Further, creating a package using R has a number of unique advantages. In the first instance, it provides access to a range of powerful tools including the </w:t>
      </w:r>
      <w:r>
        <w:rPr>
          <w:rStyle w:val="VerbatimChar"/>
        </w:rPr>
        <w:t>ggplot</w:t>
      </w:r>
      <w:r>
        <w:t xml:space="preserve"> infrastructure as </w:t>
      </w:r>
      <w:r w:rsidR="00F47E82">
        <w:t>demonstrated</w:t>
      </w:r>
      <w:r>
        <w:t xml:space="preserve"> above, but also </w:t>
      </w:r>
      <w:r>
        <w:rPr>
          <w:rStyle w:val="VerbatimChar"/>
        </w:rPr>
        <w:t>RMarkdown</w:t>
      </w:r>
      <w:r>
        <w:t>, which allows you to create documents that can be rendered into a range of formats such as PDF, HTML, or Word.</w:t>
      </w:r>
      <w:r>
        <w:rPr>
          <w:vertAlign w:val="superscript"/>
        </w:rPr>
        <w:t>22</w:t>
      </w:r>
    </w:p>
    <w:p w14:paraId="1905E057" w14:textId="2641D391" w:rsidR="005713ED" w:rsidRDefault="00A42C6E" w:rsidP="005713ED">
      <w:pPr>
        <w:pStyle w:val="BodyText"/>
      </w:pPr>
      <w:r>
        <w:t>Finally</w:t>
      </w:r>
      <w:r w:rsidR="005713ED">
        <w:t xml:space="preserve">, and focusing specifically on evidence synthesis, building new tools as packages in R allows for easy </w:t>
      </w:r>
      <w:r w:rsidR="00F47E82">
        <w:t>integration</w:t>
      </w:r>
      <w:r w:rsidR="005713ED">
        <w:t xml:space="preserve"> with the range of existing evidence synthesis packages. Recently, the </w:t>
      </w:r>
      <w:r w:rsidR="005713ED">
        <w:rPr>
          <w:rStyle w:val="VerbatimChar"/>
        </w:rPr>
        <w:t>metaverse</w:t>
      </w:r>
      <w:r w:rsidR="005713ED">
        <w:t xml:space="preserve"> project, of which </w:t>
      </w:r>
      <w:r w:rsidR="005713ED">
        <w:rPr>
          <w:rStyle w:val="VerbatimChar"/>
        </w:rPr>
        <w:t>robvis</w:t>
      </w:r>
      <w:r w:rsidR="005713ED">
        <w:t xml:space="preserve"> is a part, has begun to curate a collection of R packages that cover different aspects of the systematic review and meta-analysis process which, when taken together, form a coh</w:t>
      </w:r>
      <w:r w:rsidR="00C4357A">
        <w:t>er</w:t>
      </w:r>
      <w:r w:rsidR="005713ED">
        <w:t>e</w:t>
      </w:r>
      <w:r w:rsidR="00C4357A">
        <w:t>n</w:t>
      </w:r>
      <w:r w:rsidR="005713ED">
        <w:t xml:space="preserve">t end-to-end open-source alternative to </w:t>
      </w:r>
      <w:r w:rsidR="00C4357A">
        <w:t>commercial</w:t>
      </w:r>
      <w:r w:rsidR="005713ED">
        <w:t xml:space="preserve"> offerings such as Covidence or RevMan. Key offerings in this suite of packages include </w:t>
      </w:r>
      <w:r w:rsidR="005713ED">
        <w:rPr>
          <w:rStyle w:val="VerbatimChar"/>
        </w:rPr>
        <w:t>litsearcher</w:t>
      </w:r>
      <w:r w:rsidR="005713ED">
        <w:t xml:space="preserve">, which facilitates systematic search strategy development, </w:t>
      </w:r>
      <w:r w:rsidR="005713ED">
        <w:rPr>
          <w:rStyle w:val="VerbatimChar"/>
        </w:rPr>
        <w:t>revtools</w:t>
      </w:r>
      <w:r w:rsidR="005713ED">
        <w:t xml:space="preserve">, a package for managing the review process and performing title and abstract screening, and </w:t>
      </w:r>
      <w:r w:rsidR="005713ED">
        <w:rPr>
          <w:rStyle w:val="VerbatimChar"/>
        </w:rPr>
        <w:t>metafor</w:t>
      </w:r>
      <w:r w:rsidR="005713ED">
        <w:t>, a package for conducting meta-analyses in R.</w:t>
      </w:r>
      <w:r w:rsidR="005713ED">
        <w:rPr>
          <w:vertAlign w:val="superscript"/>
        </w:rPr>
        <w:t>23–25</w:t>
      </w:r>
    </w:p>
    <w:p w14:paraId="117C2B2C" w14:textId="77777777" w:rsidR="005713ED" w:rsidRDefault="005713ED" w:rsidP="005713ED">
      <w:pPr>
        <w:rPr>
          <w:rFonts w:asciiTheme="majorHAnsi" w:eastAsiaTheme="majorEastAsia" w:hAnsiTheme="majorHAnsi" w:cstheme="majorBidi"/>
          <w:b/>
          <w:bCs/>
          <w:sz w:val="32"/>
          <w:szCs w:val="32"/>
        </w:rPr>
      </w:pPr>
      <w:bookmarkStart w:id="17" w:name="section-3"/>
      <w:bookmarkStart w:id="18" w:name="back-matter"/>
      <w:bookmarkEnd w:id="17"/>
      <w:r>
        <w:br w:type="page"/>
      </w:r>
    </w:p>
    <w:p w14:paraId="6390E7FC" w14:textId="77777777" w:rsidR="005713ED" w:rsidRDefault="005713ED" w:rsidP="005713ED">
      <w:pPr>
        <w:pStyle w:val="Heading1"/>
      </w:pPr>
      <w:r>
        <w:lastRenderedPageBreak/>
        <w:t>Back Matter</w:t>
      </w:r>
      <w:bookmarkEnd w:id="18"/>
    </w:p>
    <w:p w14:paraId="4920A6CE" w14:textId="77777777" w:rsidR="005713ED" w:rsidRDefault="005713ED" w:rsidP="005713ED">
      <w:pPr>
        <w:pStyle w:val="Heading2"/>
      </w:pPr>
      <w:bookmarkStart w:id="19" w:name="acknowledgments"/>
      <w:r>
        <w:t>Acknowledgments</w:t>
      </w:r>
      <w:bookmarkEnd w:id="19"/>
    </w:p>
    <w:p w14:paraId="04AC1B22" w14:textId="77777777" w:rsidR="005713ED" w:rsidRDefault="005713ED" w:rsidP="005713ED">
      <w:pPr>
        <w:pStyle w:val="FirstParagraph"/>
      </w:pPr>
      <w:r>
        <w:t xml:space="preserve">The following people provided valuable feedback that contributed to the development of the </w:t>
      </w:r>
      <w:r>
        <w:rPr>
          <w:rStyle w:val="VerbatimChar"/>
        </w:rPr>
        <w:t>robvis</w:t>
      </w:r>
      <w:r>
        <w:t xml:space="preserve"> tool: Emily Kothe, Eliza Grames, Matthew Page, Alexandra Bannach-Brown, Kyle Hamilton, Charles Gray, Vincent Cheng, Wouter van Amsterdamn, Neal Haddaway and Martin Westgate.</w:t>
      </w:r>
    </w:p>
    <w:p w14:paraId="5999A936" w14:textId="77777777" w:rsidR="005713ED" w:rsidRDefault="005713ED" w:rsidP="005713ED">
      <w:pPr>
        <w:pStyle w:val="Heading2"/>
      </w:pPr>
      <w:bookmarkStart w:id="20" w:name="codedata-availability-statement"/>
      <w:r>
        <w:t>Code/Data availability statement</w:t>
      </w:r>
      <w:bookmarkEnd w:id="20"/>
    </w:p>
    <w:p w14:paraId="76FD6FDB" w14:textId="77777777" w:rsidR="005713ED" w:rsidRDefault="005713ED" w:rsidP="005713ED">
      <w:pPr>
        <w:pStyle w:val="FirstParagraph"/>
      </w:pPr>
      <w:r>
        <w:t xml:space="preserve">The software and data presented in this paper are freely available on GitHub: </w:t>
      </w:r>
      <w:hyperlink r:id="rId10">
        <w:r>
          <w:rPr>
            <w:rStyle w:val="Hyperlink"/>
          </w:rPr>
          <w:t>https://github.com/mcguinlu/robvis</w:t>
        </w:r>
      </w:hyperlink>
      <w:r>
        <w:t xml:space="preserve"> </w:t>
      </w:r>
    </w:p>
    <w:p w14:paraId="73B90C55" w14:textId="77777777" w:rsidR="005713ED" w:rsidRDefault="005713ED" w:rsidP="005713ED">
      <w:pPr>
        <w:rPr>
          <w:rFonts w:asciiTheme="majorHAnsi" w:eastAsiaTheme="majorEastAsia" w:hAnsiTheme="majorHAnsi" w:cstheme="majorBidi"/>
          <w:b/>
          <w:bCs/>
          <w:sz w:val="32"/>
          <w:szCs w:val="32"/>
        </w:rPr>
      </w:pPr>
      <w:bookmarkStart w:id="21" w:name="tablesfigures"/>
      <w:r>
        <w:br w:type="page"/>
      </w:r>
    </w:p>
    <w:p w14:paraId="1D1B08C0" w14:textId="77777777" w:rsidR="005713ED" w:rsidRDefault="005713ED" w:rsidP="005713ED">
      <w:pPr>
        <w:pStyle w:val="Heading1"/>
      </w:pPr>
      <w:r>
        <w:lastRenderedPageBreak/>
        <w:t>Tables/Figures</w:t>
      </w:r>
      <w:bookmarkEnd w:id="21"/>
    </w:p>
    <w:p w14:paraId="312B6892" w14:textId="77777777" w:rsidR="005713ED" w:rsidRDefault="005713ED" w:rsidP="005713ED">
      <w:pPr>
        <w:pStyle w:val="TableCaption"/>
      </w:pPr>
      <w:r>
        <w:t xml:space="preserve">Table 1: Example dataset for the ROB2 tool contained within </w:t>
      </w:r>
      <w:r>
        <w:rPr>
          <w:rStyle w:val="VerbatimChar"/>
        </w:rPr>
        <w:t>robvis</w:t>
      </w:r>
    </w:p>
    <w:tbl>
      <w:tblPr>
        <w:tblStyle w:val="TableGridLight"/>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961"/>
        <w:gridCol w:w="1209"/>
        <w:gridCol w:w="1208"/>
        <w:gridCol w:w="1208"/>
        <w:gridCol w:w="1208"/>
        <w:gridCol w:w="1208"/>
        <w:gridCol w:w="1208"/>
        <w:gridCol w:w="1366"/>
      </w:tblGrid>
      <w:tr w:rsidR="00B356FD" w:rsidRPr="00B356FD" w14:paraId="2F298496" w14:textId="77777777" w:rsidTr="00D234D6">
        <w:tc>
          <w:tcPr>
            <w:tcW w:w="501" w:type="pct"/>
            <w:shd w:val="clear" w:color="auto" w:fill="BFBFBF" w:themeFill="background1" w:themeFillShade="BF"/>
          </w:tcPr>
          <w:p w14:paraId="69577311" w14:textId="77777777" w:rsidR="005713ED" w:rsidRPr="00B356FD" w:rsidRDefault="005713ED" w:rsidP="00F26305">
            <w:pPr>
              <w:pStyle w:val="Compact"/>
              <w:rPr>
                <w:b/>
                <w:bCs/>
                <w:sz w:val="20"/>
                <w:szCs w:val="20"/>
              </w:rPr>
            </w:pPr>
            <w:r w:rsidRPr="00B356FD">
              <w:rPr>
                <w:b/>
                <w:bCs/>
                <w:sz w:val="20"/>
                <w:szCs w:val="20"/>
              </w:rPr>
              <w:t>Study</w:t>
            </w:r>
          </w:p>
        </w:tc>
        <w:tc>
          <w:tcPr>
            <w:tcW w:w="631" w:type="pct"/>
            <w:shd w:val="clear" w:color="auto" w:fill="BFBFBF" w:themeFill="background1" w:themeFillShade="BF"/>
          </w:tcPr>
          <w:p w14:paraId="5AE63EB2" w14:textId="77777777" w:rsidR="005713ED" w:rsidRPr="00B356FD" w:rsidRDefault="005713ED" w:rsidP="00F26305">
            <w:pPr>
              <w:pStyle w:val="Compact"/>
              <w:rPr>
                <w:b/>
                <w:bCs/>
                <w:sz w:val="20"/>
                <w:szCs w:val="20"/>
              </w:rPr>
            </w:pPr>
            <w:r w:rsidRPr="00B356FD">
              <w:rPr>
                <w:b/>
                <w:bCs/>
                <w:sz w:val="20"/>
                <w:szCs w:val="20"/>
              </w:rPr>
              <w:t>D1</w:t>
            </w:r>
          </w:p>
        </w:tc>
        <w:tc>
          <w:tcPr>
            <w:tcW w:w="631" w:type="pct"/>
            <w:shd w:val="clear" w:color="auto" w:fill="BFBFBF" w:themeFill="background1" w:themeFillShade="BF"/>
          </w:tcPr>
          <w:p w14:paraId="4E00259B" w14:textId="77777777" w:rsidR="005713ED" w:rsidRPr="00B356FD" w:rsidRDefault="005713ED" w:rsidP="00F26305">
            <w:pPr>
              <w:pStyle w:val="Compact"/>
              <w:rPr>
                <w:b/>
                <w:bCs/>
                <w:sz w:val="20"/>
                <w:szCs w:val="20"/>
              </w:rPr>
            </w:pPr>
            <w:r w:rsidRPr="00B356FD">
              <w:rPr>
                <w:b/>
                <w:bCs/>
                <w:sz w:val="20"/>
                <w:szCs w:val="20"/>
              </w:rPr>
              <w:t>D2</w:t>
            </w:r>
          </w:p>
        </w:tc>
        <w:tc>
          <w:tcPr>
            <w:tcW w:w="631" w:type="pct"/>
            <w:shd w:val="clear" w:color="auto" w:fill="BFBFBF" w:themeFill="background1" w:themeFillShade="BF"/>
          </w:tcPr>
          <w:p w14:paraId="76AF7735" w14:textId="77777777" w:rsidR="005713ED" w:rsidRPr="00B356FD" w:rsidRDefault="005713ED" w:rsidP="00F26305">
            <w:pPr>
              <w:pStyle w:val="Compact"/>
              <w:rPr>
                <w:b/>
                <w:bCs/>
                <w:sz w:val="20"/>
                <w:szCs w:val="20"/>
              </w:rPr>
            </w:pPr>
            <w:r w:rsidRPr="00B356FD">
              <w:rPr>
                <w:b/>
                <w:bCs/>
                <w:sz w:val="20"/>
                <w:szCs w:val="20"/>
              </w:rPr>
              <w:t>D3</w:t>
            </w:r>
          </w:p>
        </w:tc>
        <w:tc>
          <w:tcPr>
            <w:tcW w:w="631" w:type="pct"/>
            <w:shd w:val="clear" w:color="auto" w:fill="BFBFBF" w:themeFill="background1" w:themeFillShade="BF"/>
          </w:tcPr>
          <w:p w14:paraId="447D2C88" w14:textId="77777777" w:rsidR="005713ED" w:rsidRPr="00B356FD" w:rsidRDefault="005713ED" w:rsidP="00F26305">
            <w:pPr>
              <w:pStyle w:val="Compact"/>
              <w:rPr>
                <w:b/>
                <w:bCs/>
                <w:sz w:val="20"/>
                <w:szCs w:val="20"/>
              </w:rPr>
            </w:pPr>
            <w:r w:rsidRPr="00B356FD">
              <w:rPr>
                <w:b/>
                <w:bCs/>
                <w:sz w:val="20"/>
                <w:szCs w:val="20"/>
              </w:rPr>
              <w:t>D4</w:t>
            </w:r>
          </w:p>
        </w:tc>
        <w:tc>
          <w:tcPr>
            <w:tcW w:w="631" w:type="pct"/>
            <w:shd w:val="clear" w:color="auto" w:fill="BFBFBF" w:themeFill="background1" w:themeFillShade="BF"/>
          </w:tcPr>
          <w:p w14:paraId="1122360D" w14:textId="77777777" w:rsidR="005713ED" w:rsidRPr="00B356FD" w:rsidRDefault="005713ED" w:rsidP="00F26305">
            <w:pPr>
              <w:pStyle w:val="Compact"/>
              <w:rPr>
                <w:b/>
                <w:bCs/>
                <w:sz w:val="20"/>
                <w:szCs w:val="20"/>
              </w:rPr>
            </w:pPr>
            <w:r w:rsidRPr="00B356FD">
              <w:rPr>
                <w:b/>
                <w:bCs/>
                <w:sz w:val="20"/>
                <w:szCs w:val="20"/>
              </w:rPr>
              <w:t>D5</w:t>
            </w:r>
          </w:p>
        </w:tc>
        <w:tc>
          <w:tcPr>
            <w:tcW w:w="631" w:type="pct"/>
            <w:shd w:val="clear" w:color="auto" w:fill="BFBFBF" w:themeFill="background1" w:themeFillShade="BF"/>
          </w:tcPr>
          <w:p w14:paraId="68803FA0" w14:textId="77777777" w:rsidR="005713ED" w:rsidRPr="00B356FD" w:rsidRDefault="005713ED" w:rsidP="00F26305">
            <w:pPr>
              <w:pStyle w:val="Compact"/>
              <w:rPr>
                <w:b/>
                <w:bCs/>
                <w:sz w:val="20"/>
                <w:szCs w:val="20"/>
              </w:rPr>
            </w:pPr>
            <w:r w:rsidRPr="00B356FD">
              <w:rPr>
                <w:b/>
                <w:bCs/>
                <w:sz w:val="20"/>
                <w:szCs w:val="20"/>
              </w:rPr>
              <w:t>Overall</w:t>
            </w:r>
          </w:p>
        </w:tc>
        <w:tc>
          <w:tcPr>
            <w:tcW w:w="713" w:type="pct"/>
            <w:shd w:val="clear" w:color="auto" w:fill="BFBFBF" w:themeFill="background1" w:themeFillShade="BF"/>
          </w:tcPr>
          <w:p w14:paraId="1B15D217" w14:textId="77777777" w:rsidR="005713ED" w:rsidRPr="00B356FD" w:rsidRDefault="005713ED" w:rsidP="00F26305">
            <w:pPr>
              <w:pStyle w:val="Compact"/>
              <w:jc w:val="right"/>
              <w:rPr>
                <w:b/>
                <w:bCs/>
                <w:sz w:val="20"/>
                <w:szCs w:val="20"/>
              </w:rPr>
            </w:pPr>
            <w:r w:rsidRPr="00B356FD">
              <w:rPr>
                <w:b/>
                <w:bCs/>
                <w:sz w:val="20"/>
                <w:szCs w:val="20"/>
              </w:rPr>
              <w:t>Weight</w:t>
            </w:r>
          </w:p>
        </w:tc>
      </w:tr>
      <w:tr w:rsidR="005713ED" w:rsidRPr="00B356FD" w14:paraId="377E873D" w14:textId="77777777" w:rsidTr="00B356FD">
        <w:tc>
          <w:tcPr>
            <w:tcW w:w="501" w:type="pct"/>
          </w:tcPr>
          <w:p w14:paraId="66D04C3A" w14:textId="77777777" w:rsidR="005713ED" w:rsidRPr="00B356FD" w:rsidRDefault="005713ED" w:rsidP="00F26305">
            <w:pPr>
              <w:pStyle w:val="Compact"/>
              <w:rPr>
                <w:sz w:val="20"/>
                <w:szCs w:val="20"/>
              </w:rPr>
            </w:pPr>
            <w:r w:rsidRPr="00B356FD">
              <w:rPr>
                <w:sz w:val="20"/>
                <w:szCs w:val="20"/>
              </w:rPr>
              <w:t>Study 1</w:t>
            </w:r>
          </w:p>
        </w:tc>
        <w:tc>
          <w:tcPr>
            <w:tcW w:w="631" w:type="pct"/>
          </w:tcPr>
          <w:p w14:paraId="60092FD3" w14:textId="77777777" w:rsidR="005713ED" w:rsidRPr="00B356FD" w:rsidRDefault="005713ED" w:rsidP="00F26305">
            <w:pPr>
              <w:pStyle w:val="Compact"/>
              <w:rPr>
                <w:sz w:val="20"/>
                <w:szCs w:val="20"/>
              </w:rPr>
            </w:pPr>
            <w:r w:rsidRPr="00B356FD">
              <w:rPr>
                <w:sz w:val="20"/>
                <w:szCs w:val="20"/>
              </w:rPr>
              <w:t>Low</w:t>
            </w:r>
          </w:p>
        </w:tc>
        <w:tc>
          <w:tcPr>
            <w:tcW w:w="631" w:type="pct"/>
          </w:tcPr>
          <w:p w14:paraId="5B7C9AED" w14:textId="77777777" w:rsidR="005713ED" w:rsidRPr="00B356FD" w:rsidRDefault="005713ED" w:rsidP="00F26305">
            <w:pPr>
              <w:pStyle w:val="Compact"/>
              <w:rPr>
                <w:sz w:val="20"/>
                <w:szCs w:val="20"/>
              </w:rPr>
            </w:pPr>
            <w:r w:rsidRPr="00B356FD">
              <w:rPr>
                <w:sz w:val="20"/>
                <w:szCs w:val="20"/>
              </w:rPr>
              <w:t>Low</w:t>
            </w:r>
          </w:p>
        </w:tc>
        <w:tc>
          <w:tcPr>
            <w:tcW w:w="631" w:type="pct"/>
          </w:tcPr>
          <w:p w14:paraId="565057CE" w14:textId="77777777" w:rsidR="005713ED" w:rsidRPr="00B356FD" w:rsidRDefault="005713ED" w:rsidP="00F26305">
            <w:pPr>
              <w:pStyle w:val="Compact"/>
              <w:rPr>
                <w:sz w:val="20"/>
                <w:szCs w:val="20"/>
              </w:rPr>
            </w:pPr>
            <w:r w:rsidRPr="00B356FD">
              <w:rPr>
                <w:sz w:val="20"/>
                <w:szCs w:val="20"/>
              </w:rPr>
              <w:t>Low</w:t>
            </w:r>
          </w:p>
        </w:tc>
        <w:tc>
          <w:tcPr>
            <w:tcW w:w="631" w:type="pct"/>
          </w:tcPr>
          <w:p w14:paraId="63454E47" w14:textId="77777777" w:rsidR="005713ED" w:rsidRPr="00B356FD" w:rsidRDefault="005713ED" w:rsidP="00F26305">
            <w:pPr>
              <w:pStyle w:val="Compact"/>
              <w:rPr>
                <w:sz w:val="20"/>
                <w:szCs w:val="20"/>
              </w:rPr>
            </w:pPr>
            <w:r w:rsidRPr="00B356FD">
              <w:rPr>
                <w:sz w:val="20"/>
                <w:szCs w:val="20"/>
              </w:rPr>
              <w:t>Low</w:t>
            </w:r>
          </w:p>
        </w:tc>
        <w:tc>
          <w:tcPr>
            <w:tcW w:w="631" w:type="pct"/>
          </w:tcPr>
          <w:p w14:paraId="74D8EED4" w14:textId="77777777" w:rsidR="005713ED" w:rsidRPr="00B356FD" w:rsidRDefault="005713ED" w:rsidP="00F26305">
            <w:pPr>
              <w:pStyle w:val="Compact"/>
              <w:rPr>
                <w:sz w:val="20"/>
                <w:szCs w:val="20"/>
              </w:rPr>
            </w:pPr>
            <w:r w:rsidRPr="00B356FD">
              <w:rPr>
                <w:sz w:val="20"/>
                <w:szCs w:val="20"/>
              </w:rPr>
              <w:t>Low</w:t>
            </w:r>
          </w:p>
        </w:tc>
        <w:tc>
          <w:tcPr>
            <w:tcW w:w="631" w:type="pct"/>
          </w:tcPr>
          <w:p w14:paraId="414F3094" w14:textId="77777777" w:rsidR="005713ED" w:rsidRPr="00B356FD" w:rsidRDefault="005713ED" w:rsidP="00F26305">
            <w:pPr>
              <w:pStyle w:val="Compact"/>
              <w:rPr>
                <w:sz w:val="20"/>
                <w:szCs w:val="20"/>
              </w:rPr>
            </w:pPr>
            <w:r w:rsidRPr="00B356FD">
              <w:rPr>
                <w:sz w:val="20"/>
                <w:szCs w:val="20"/>
              </w:rPr>
              <w:t>Low</w:t>
            </w:r>
          </w:p>
        </w:tc>
        <w:tc>
          <w:tcPr>
            <w:tcW w:w="713" w:type="pct"/>
          </w:tcPr>
          <w:p w14:paraId="16077775" w14:textId="40C2ADC9" w:rsidR="005713ED" w:rsidRPr="00B356FD" w:rsidRDefault="005713ED" w:rsidP="00F26305">
            <w:pPr>
              <w:pStyle w:val="Compact"/>
              <w:jc w:val="right"/>
              <w:rPr>
                <w:sz w:val="20"/>
                <w:szCs w:val="20"/>
              </w:rPr>
            </w:pPr>
            <w:r w:rsidRPr="00B356FD">
              <w:rPr>
                <w:sz w:val="20"/>
                <w:szCs w:val="20"/>
              </w:rPr>
              <w:t>33.33</w:t>
            </w:r>
          </w:p>
        </w:tc>
      </w:tr>
      <w:tr w:rsidR="00B356FD" w:rsidRPr="00B356FD" w14:paraId="4748CB0C" w14:textId="77777777" w:rsidTr="00B356FD">
        <w:tc>
          <w:tcPr>
            <w:tcW w:w="501" w:type="pct"/>
            <w:shd w:val="clear" w:color="auto" w:fill="D9D9D9" w:themeFill="background1" w:themeFillShade="D9"/>
          </w:tcPr>
          <w:p w14:paraId="0C1710CC" w14:textId="77777777" w:rsidR="005713ED" w:rsidRPr="00B356FD" w:rsidRDefault="005713ED" w:rsidP="00F26305">
            <w:pPr>
              <w:pStyle w:val="Compact"/>
              <w:rPr>
                <w:sz w:val="20"/>
                <w:szCs w:val="20"/>
              </w:rPr>
            </w:pPr>
            <w:r w:rsidRPr="00B356FD">
              <w:rPr>
                <w:sz w:val="20"/>
                <w:szCs w:val="20"/>
              </w:rPr>
              <w:t>Study 2</w:t>
            </w:r>
          </w:p>
        </w:tc>
        <w:tc>
          <w:tcPr>
            <w:tcW w:w="631" w:type="pct"/>
            <w:shd w:val="clear" w:color="auto" w:fill="D9D9D9" w:themeFill="background1" w:themeFillShade="D9"/>
          </w:tcPr>
          <w:p w14:paraId="6BEC0938" w14:textId="77777777" w:rsidR="005713ED" w:rsidRPr="00B356FD" w:rsidRDefault="005713ED" w:rsidP="00F26305">
            <w:pPr>
              <w:pStyle w:val="Compact"/>
              <w:rPr>
                <w:sz w:val="20"/>
                <w:szCs w:val="20"/>
              </w:rPr>
            </w:pPr>
            <w:r w:rsidRPr="00B356FD">
              <w:rPr>
                <w:sz w:val="20"/>
                <w:szCs w:val="20"/>
              </w:rPr>
              <w:t>Some concerns</w:t>
            </w:r>
          </w:p>
        </w:tc>
        <w:tc>
          <w:tcPr>
            <w:tcW w:w="631" w:type="pct"/>
            <w:shd w:val="clear" w:color="auto" w:fill="D9D9D9" w:themeFill="background1" w:themeFillShade="D9"/>
          </w:tcPr>
          <w:p w14:paraId="592AA280" w14:textId="77777777" w:rsidR="005713ED" w:rsidRPr="00B356FD" w:rsidRDefault="005713ED" w:rsidP="00F26305">
            <w:pPr>
              <w:pStyle w:val="Compact"/>
              <w:rPr>
                <w:sz w:val="20"/>
                <w:szCs w:val="20"/>
              </w:rPr>
            </w:pPr>
            <w:r w:rsidRPr="00B356FD">
              <w:rPr>
                <w:sz w:val="20"/>
                <w:szCs w:val="20"/>
              </w:rPr>
              <w:t>Low</w:t>
            </w:r>
          </w:p>
        </w:tc>
        <w:tc>
          <w:tcPr>
            <w:tcW w:w="631" w:type="pct"/>
            <w:shd w:val="clear" w:color="auto" w:fill="D9D9D9" w:themeFill="background1" w:themeFillShade="D9"/>
          </w:tcPr>
          <w:p w14:paraId="53A8FDC3" w14:textId="77777777" w:rsidR="005713ED" w:rsidRPr="00B356FD" w:rsidRDefault="005713ED" w:rsidP="00F26305">
            <w:pPr>
              <w:pStyle w:val="Compact"/>
              <w:rPr>
                <w:sz w:val="20"/>
                <w:szCs w:val="20"/>
              </w:rPr>
            </w:pPr>
            <w:r w:rsidRPr="00B356FD">
              <w:rPr>
                <w:sz w:val="20"/>
                <w:szCs w:val="20"/>
              </w:rPr>
              <w:t>Low</w:t>
            </w:r>
          </w:p>
        </w:tc>
        <w:tc>
          <w:tcPr>
            <w:tcW w:w="631" w:type="pct"/>
            <w:shd w:val="clear" w:color="auto" w:fill="D9D9D9" w:themeFill="background1" w:themeFillShade="D9"/>
          </w:tcPr>
          <w:p w14:paraId="151C05F2" w14:textId="77777777" w:rsidR="005713ED" w:rsidRPr="00B356FD" w:rsidRDefault="005713ED" w:rsidP="00F26305">
            <w:pPr>
              <w:pStyle w:val="Compact"/>
              <w:rPr>
                <w:sz w:val="20"/>
                <w:szCs w:val="20"/>
              </w:rPr>
            </w:pPr>
            <w:r w:rsidRPr="00B356FD">
              <w:rPr>
                <w:sz w:val="20"/>
                <w:szCs w:val="20"/>
              </w:rPr>
              <w:t>Low</w:t>
            </w:r>
          </w:p>
        </w:tc>
        <w:tc>
          <w:tcPr>
            <w:tcW w:w="631" w:type="pct"/>
            <w:shd w:val="clear" w:color="auto" w:fill="D9D9D9" w:themeFill="background1" w:themeFillShade="D9"/>
          </w:tcPr>
          <w:p w14:paraId="6F1CE22A" w14:textId="77777777" w:rsidR="005713ED" w:rsidRPr="00B356FD" w:rsidRDefault="005713ED" w:rsidP="00F26305">
            <w:pPr>
              <w:pStyle w:val="Compact"/>
              <w:rPr>
                <w:sz w:val="20"/>
                <w:szCs w:val="20"/>
              </w:rPr>
            </w:pPr>
            <w:r w:rsidRPr="00B356FD">
              <w:rPr>
                <w:sz w:val="20"/>
                <w:szCs w:val="20"/>
              </w:rPr>
              <w:t>Low</w:t>
            </w:r>
          </w:p>
        </w:tc>
        <w:tc>
          <w:tcPr>
            <w:tcW w:w="631" w:type="pct"/>
            <w:shd w:val="clear" w:color="auto" w:fill="D9D9D9" w:themeFill="background1" w:themeFillShade="D9"/>
          </w:tcPr>
          <w:p w14:paraId="421D4983" w14:textId="77777777" w:rsidR="005713ED" w:rsidRPr="00B356FD" w:rsidRDefault="005713ED" w:rsidP="00F26305">
            <w:pPr>
              <w:pStyle w:val="Compact"/>
              <w:rPr>
                <w:sz w:val="20"/>
                <w:szCs w:val="20"/>
              </w:rPr>
            </w:pPr>
            <w:r w:rsidRPr="00B356FD">
              <w:rPr>
                <w:sz w:val="20"/>
                <w:szCs w:val="20"/>
              </w:rPr>
              <w:t>Low</w:t>
            </w:r>
          </w:p>
        </w:tc>
        <w:tc>
          <w:tcPr>
            <w:tcW w:w="713" w:type="pct"/>
            <w:shd w:val="clear" w:color="auto" w:fill="D9D9D9" w:themeFill="background1" w:themeFillShade="D9"/>
          </w:tcPr>
          <w:p w14:paraId="789A01ED" w14:textId="0791C919" w:rsidR="005713ED" w:rsidRPr="00B356FD" w:rsidRDefault="005713ED" w:rsidP="00F26305">
            <w:pPr>
              <w:pStyle w:val="Compact"/>
              <w:jc w:val="right"/>
              <w:rPr>
                <w:sz w:val="20"/>
                <w:szCs w:val="20"/>
              </w:rPr>
            </w:pPr>
            <w:r w:rsidRPr="00B356FD">
              <w:rPr>
                <w:sz w:val="20"/>
                <w:szCs w:val="20"/>
              </w:rPr>
              <w:t>33.33</w:t>
            </w:r>
          </w:p>
        </w:tc>
      </w:tr>
      <w:tr w:rsidR="005713ED" w:rsidRPr="00B356FD" w14:paraId="58261322" w14:textId="77777777" w:rsidTr="00B356FD">
        <w:tc>
          <w:tcPr>
            <w:tcW w:w="501" w:type="pct"/>
          </w:tcPr>
          <w:p w14:paraId="4EA25F34" w14:textId="77777777" w:rsidR="005713ED" w:rsidRPr="00B356FD" w:rsidRDefault="005713ED" w:rsidP="00F26305">
            <w:pPr>
              <w:pStyle w:val="Compact"/>
              <w:rPr>
                <w:sz w:val="20"/>
                <w:szCs w:val="20"/>
              </w:rPr>
            </w:pPr>
            <w:r w:rsidRPr="00B356FD">
              <w:rPr>
                <w:sz w:val="20"/>
                <w:szCs w:val="20"/>
              </w:rPr>
              <w:t>Study 3</w:t>
            </w:r>
          </w:p>
        </w:tc>
        <w:tc>
          <w:tcPr>
            <w:tcW w:w="631" w:type="pct"/>
          </w:tcPr>
          <w:p w14:paraId="462B318C" w14:textId="77777777" w:rsidR="005713ED" w:rsidRPr="00B356FD" w:rsidRDefault="005713ED" w:rsidP="00F26305">
            <w:pPr>
              <w:pStyle w:val="Compact"/>
              <w:rPr>
                <w:sz w:val="20"/>
                <w:szCs w:val="20"/>
              </w:rPr>
            </w:pPr>
            <w:r w:rsidRPr="00B356FD">
              <w:rPr>
                <w:sz w:val="20"/>
                <w:szCs w:val="20"/>
              </w:rPr>
              <w:t>Some concerns</w:t>
            </w:r>
          </w:p>
        </w:tc>
        <w:tc>
          <w:tcPr>
            <w:tcW w:w="631" w:type="pct"/>
          </w:tcPr>
          <w:p w14:paraId="021891AB" w14:textId="77777777" w:rsidR="005713ED" w:rsidRPr="00B356FD" w:rsidRDefault="005713ED" w:rsidP="00F26305">
            <w:pPr>
              <w:pStyle w:val="Compact"/>
              <w:rPr>
                <w:sz w:val="20"/>
                <w:szCs w:val="20"/>
              </w:rPr>
            </w:pPr>
            <w:r w:rsidRPr="00B356FD">
              <w:rPr>
                <w:sz w:val="20"/>
                <w:szCs w:val="20"/>
              </w:rPr>
              <w:t>Low</w:t>
            </w:r>
          </w:p>
        </w:tc>
        <w:tc>
          <w:tcPr>
            <w:tcW w:w="631" w:type="pct"/>
          </w:tcPr>
          <w:p w14:paraId="0398FD61" w14:textId="77777777" w:rsidR="005713ED" w:rsidRPr="00B356FD" w:rsidRDefault="005713ED" w:rsidP="00F26305">
            <w:pPr>
              <w:pStyle w:val="Compact"/>
              <w:rPr>
                <w:sz w:val="20"/>
                <w:szCs w:val="20"/>
              </w:rPr>
            </w:pPr>
            <w:r w:rsidRPr="00B356FD">
              <w:rPr>
                <w:sz w:val="20"/>
                <w:szCs w:val="20"/>
              </w:rPr>
              <w:t>Some concerns</w:t>
            </w:r>
          </w:p>
        </w:tc>
        <w:tc>
          <w:tcPr>
            <w:tcW w:w="631" w:type="pct"/>
          </w:tcPr>
          <w:p w14:paraId="1F3D24D2" w14:textId="77777777" w:rsidR="005713ED" w:rsidRPr="00B356FD" w:rsidRDefault="005713ED" w:rsidP="00F26305">
            <w:pPr>
              <w:pStyle w:val="Compact"/>
              <w:rPr>
                <w:sz w:val="20"/>
                <w:szCs w:val="20"/>
              </w:rPr>
            </w:pPr>
            <w:r w:rsidRPr="00B356FD">
              <w:rPr>
                <w:sz w:val="20"/>
                <w:szCs w:val="20"/>
              </w:rPr>
              <w:t>Low</w:t>
            </w:r>
          </w:p>
        </w:tc>
        <w:tc>
          <w:tcPr>
            <w:tcW w:w="631" w:type="pct"/>
          </w:tcPr>
          <w:p w14:paraId="07BA47B4" w14:textId="77777777" w:rsidR="005713ED" w:rsidRPr="00B356FD" w:rsidRDefault="005713ED" w:rsidP="00F26305">
            <w:pPr>
              <w:pStyle w:val="Compact"/>
              <w:rPr>
                <w:sz w:val="20"/>
                <w:szCs w:val="20"/>
              </w:rPr>
            </w:pPr>
            <w:r w:rsidRPr="00B356FD">
              <w:rPr>
                <w:sz w:val="20"/>
                <w:szCs w:val="20"/>
              </w:rPr>
              <w:t>Low</w:t>
            </w:r>
          </w:p>
        </w:tc>
        <w:tc>
          <w:tcPr>
            <w:tcW w:w="631" w:type="pct"/>
          </w:tcPr>
          <w:p w14:paraId="105D6A32" w14:textId="77777777" w:rsidR="005713ED" w:rsidRPr="00B356FD" w:rsidRDefault="005713ED" w:rsidP="00F26305">
            <w:pPr>
              <w:pStyle w:val="Compact"/>
              <w:rPr>
                <w:sz w:val="20"/>
                <w:szCs w:val="20"/>
              </w:rPr>
            </w:pPr>
            <w:r w:rsidRPr="00B356FD">
              <w:rPr>
                <w:sz w:val="20"/>
                <w:szCs w:val="20"/>
              </w:rPr>
              <w:t>Some concerns</w:t>
            </w:r>
          </w:p>
        </w:tc>
        <w:tc>
          <w:tcPr>
            <w:tcW w:w="713" w:type="pct"/>
          </w:tcPr>
          <w:p w14:paraId="6ABFB8EC" w14:textId="77777777" w:rsidR="005713ED" w:rsidRPr="00B356FD" w:rsidRDefault="005713ED" w:rsidP="00F26305">
            <w:pPr>
              <w:pStyle w:val="Compact"/>
              <w:jc w:val="right"/>
              <w:rPr>
                <w:sz w:val="20"/>
                <w:szCs w:val="20"/>
              </w:rPr>
            </w:pPr>
            <w:r w:rsidRPr="00B356FD">
              <w:rPr>
                <w:sz w:val="20"/>
                <w:szCs w:val="20"/>
              </w:rPr>
              <w:t>0.1428571</w:t>
            </w:r>
          </w:p>
        </w:tc>
      </w:tr>
      <w:tr w:rsidR="00B356FD" w:rsidRPr="00B356FD" w14:paraId="59FB1AEF" w14:textId="77777777" w:rsidTr="00B356FD">
        <w:tc>
          <w:tcPr>
            <w:tcW w:w="501" w:type="pct"/>
            <w:shd w:val="clear" w:color="auto" w:fill="D9D9D9" w:themeFill="background1" w:themeFillShade="D9"/>
          </w:tcPr>
          <w:p w14:paraId="47B8D5F8" w14:textId="77777777" w:rsidR="005713ED" w:rsidRPr="00B356FD" w:rsidRDefault="005713ED" w:rsidP="00F26305">
            <w:pPr>
              <w:pStyle w:val="Compact"/>
              <w:rPr>
                <w:sz w:val="20"/>
                <w:szCs w:val="20"/>
              </w:rPr>
            </w:pPr>
            <w:r w:rsidRPr="00B356FD">
              <w:rPr>
                <w:sz w:val="20"/>
                <w:szCs w:val="20"/>
              </w:rPr>
              <w:t>Study 4</w:t>
            </w:r>
          </w:p>
        </w:tc>
        <w:tc>
          <w:tcPr>
            <w:tcW w:w="631" w:type="pct"/>
            <w:shd w:val="clear" w:color="auto" w:fill="D9D9D9" w:themeFill="background1" w:themeFillShade="D9"/>
          </w:tcPr>
          <w:p w14:paraId="18F56409" w14:textId="77777777" w:rsidR="005713ED" w:rsidRPr="00B356FD" w:rsidRDefault="005713ED" w:rsidP="00F26305">
            <w:pPr>
              <w:pStyle w:val="Compact"/>
              <w:rPr>
                <w:sz w:val="20"/>
                <w:szCs w:val="20"/>
              </w:rPr>
            </w:pPr>
            <w:r w:rsidRPr="00B356FD">
              <w:rPr>
                <w:sz w:val="20"/>
                <w:szCs w:val="20"/>
              </w:rPr>
              <w:t>Low</w:t>
            </w:r>
          </w:p>
        </w:tc>
        <w:tc>
          <w:tcPr>
            <w:tcW w:w="631" w:type="pct"/>
            <w:shd w:val="clear" w:color="auto" w:fill="D9D9D9" w:themeFill="background1" w:themeFillShade="D9"/>
          </w:tcPr>
          <w:p w14:paraId="190B780D" w14:textId="77777777" w:rsidR="005713ED" w:rsidRPr="00B356FD" w:rsidRDefault="005713ED" w:rsidP="00F26305">
            <w:pPr>
              <w:pStyle w:val="Compact"/>
              <w:rPr>
                <w:sz w:val="20"/>
                <w:szCs w:val="20"/>
              </w:rPr>
            </w:pPr>
            <w:r w:rsidRPr="00B356FD">
              <w:rPr>
                <w:sz w:val="20"/>
                <w:szCs w:val="20"/>
              </w:rPr>
              <w:t>Low</w:t>
            </w:r>
          </w:p>
        </w:tc>
        <w:tc>
          <w:tcPr>
            <w:tcW w:w="631" w:type="pct"/>
            <w:shd w:val="clear" w:color="auto" w:fill="D9D9D9" w:themeFill="background1" w:themeFillShade="D9"/>
          </w:tcPr>
          <w:p w14:paraId="680948D6" w14:textId="77777777" w:rsidR="005713ED" w:rsidRPr="00B356FD" w:rsidRDefault="005713ED" w:rsidP="00F26305">
            <w:pPr>
              <w:pStyle w:val="Compact"/>
              <w:rPr>
                <w:sz w:val="20"/>
                <w:szCs w:val="20"/>
              </w:rPr>
            </w:pPr>
            <w:r w:rsidRPr="00B356FD">
              <w:rPr>
                <w:sz w:val="20"/>
                <w:szCs w:val="20"/>
              </w:rPr>
              <w:t>High</w:t>
            </w:r>
          </w:p>
        </w:tc>
        <w:tc>
          <w:tcPr>
            <w:tcW w:w="631" w:type="pct"/>
            <w:shd w:val="clear" w:color="auto" w:fill="D9D9D9" w:themeFill="background1" w:themeFillShade="D9"/>
          </w:tcPr>
          <w:p w14:paraId="473C29D6" w14:textId="77777777" w:rsidR="005713ED" w:rsidRPr="00B356FD" w:rsidRDefault="005713ED" w:rsidP="00F26305">
            <w:pPr>
              <w:pStyle w:val="Compact"/>
              <w:rPr>
                <w:sz w:val="20"/>
                <w:szCs w:val="20"/>
              </w:rPr>
            </w:pPr>
            <w:r w:rsidRPr="00B356FD">
              <w:rPr>
                <w:sz w:val="20"/>
                <w:szCs w:val="20"/>
              </w:rPr>
              <w:t>Low</w:t>
            </w:r>
          </w:p>
        </w:tc>
        <w:tc>
          <w:tcPr>
            <w:tcW w:w="631" w:type="pct"/>
            <w:shd w:val="clear" w:color="auto" w:fill="D9D9D9" w:themeFill="background1" w:themeFillShade="D9"/>
          </w:tcPr>
          <w:p w14:paraId="6A1DC664" w14:textId="77777777" w:rsidR="005713ED" w:rsidRPr="00B356FD" w:rsidRDefault="005713ED" w:rsidP="00F26305">
            <w:pPr>
              <w:pStyle w:val="Compact"/>
              <w:rPr>
                <w:sz w:val="20"/>
                <w:szCs w:val="20"/>
              </w:rPr>
            </w:pPr>
            <w:r w:rsidRPr="00B356FD">
              <w:rPr>
                <w:sz w:val="20"/>
                <w:szCs w:val="20"/>
              </w:rPr>
              <w:t>Some concerns</w:t>
            </w:r>
          </w:p>
        </w:tc>
        <w:tc>
          <w:tcPr>
            <w:tcW w:w="631" w:type="pct"/>
            <w:shd w:val="clear" w:color="auto" w:fill="D9D9D9" w:themeFill="background1" w:themeFillShade="D9"/>
          </w:tcPr>
          <w:p w14:paraId="1350C764" w14:textId="77777777" w:rsidR="005713ED" w:rsidRPr="00B356FD" w:rsidRDefault="005713ED" w:rsidP="00F26305">
            <w:pPr>
              <w:pStyle w:val="Compact"/>
              <w:rPr>
                <w:sz w:val="20"/>
                <w:szCs w:val="20"/>
              </w:rPr>
            </w:pPr>
            <w:r w:rsidRPr="00B356FD">
              <w:rPr>
                <w:sz w:val="20"/>
                <w:szCs w:val="20"/>
              </w:rPr>
              <w:t>High</w:t>
            </w:r>
          </w:p>
        </w:tc>
        <w:tc>
          <w:tcPr>
            <w:tcW w:w="713" w:type="pct"/>
            <w:shd w:val="clear" w:color="auto" w:fill="D9D9D9" w:themeFill="background1" w:themeFillShade="D9"/>
          </w:tcPr>
          <w:p w14:paraId="1CFE11BC" w14:textId="77777777" w:rsidR="005713ED" w:rsidRPr="00B356FD" w:rsidRDefault="005713ED" w:rsidP="00F26305">
            <w:pPr>
              <w:pStyle w:val="Compact"/>
              <w:jc w:val="right"/>
              <w:rPr>
                <w:sz w:val="20"/>
                <w:szCs w:val="20"/>
              </w:rPr>
            </w:pPr>
            <w:r w:rsidRPr="00B356FD">
              <w:rPr>
                <w:sz w:val="20"/>
                <w:szCs w:val="20"/>
              </w:rPr>
              <w:t>9.0909091</w:t>
            </w:r>
          </w:p>
        </w:tc>
      </w:tr>
      <w:tr w:rsidR="005713ED" w:rsidRPr="00B356FD" w14:paraId="3A1DEAFD" w14:textId="77777777" w:rsidTr="00B356FD">
        <w:tc>
          <w:tcPr>
            <w:tcW w:w="501" w:type="pct"/>
          </w:tcPr>
          <w:p w14:paraId="1145212A" w14:textId="77777777" w:rsidR="005713ED" w:rsidRPr="00B356FD" w:rsidRDefault="005713ED" w:rsidP="00F26305">
            <w:pPr>
              <w:pStyle w:val="Compact"/>
              <w:rPr>
                <w:sz w:val="20"/>
                <w:szCs w:val="20"/>
              </w:rPr>
            </w:pPr>
            <w:r w:rsidRPr="00B356FD">
              <w:rPr>
                <w:sz w:val="20"/>
                <w:szCs w:val="20"/>
              </w:rPr>
              <w:t>Study 5</w:t>
            </w:r>
          </w:p>
        </w:tc>
        <w:tc>
          <w:tcPr>
            <w:tcW w:w="631" w:type="pct"/>
          </w:tcPr>
          <w:p w14:paraId="2415EFAC" w14:textId="77777777" w:rsidR="005713ED" w:rsidRPr="00B356FD" w:rsidRDefault="005713ED" w:rsidP="00F26305">
            <w:pPr>
              <w:pStyle w:val="Compact"/>
              <w:rPr>
                <w:sz w:val="20"/>
                <w:szCs w:val="20"/>
              </w:rPr>
            </w:pPr>
            <w:r w:rsidRPr="00B356FD">
              <w:rPr>
                <w:sz w:val="20"/>
                <w:szCs w:val="20"/>
              </w:rPr>
              <w:t>High</w:t>
            </w:r>
          </w:p>
        </w:tc>
        <w:tc>
          <w:tcPr>
            <w:tcW w:w="631" w:type="pct"/>
          </w:tcPr>
          <w:p w14:paraId="789861C9" w14:textId="77777777" w:rsidR="005713ED" w:rsidRPr="00B356FD" w:rsidRDefault="005713ED" w:rsidP="00F26305">
            <w:pPr>
              <w:pStyle w:val="Compact"/>
              <w:rPr>
                <w:sz w:val="20"/>
                <w:szCs w:val="20"/>
              </w:rPr>
            </w:pPr>
            <w:r w:rsidRPr="00B356FD">
              <w:rPr>
                <w:sz w:val="20"/>
                <w:szCs w:val="20"/>
              </w:rPr>
              <w:t>High</w:t>
            </w:r>
          </w:p>
        </w:tc>
        <w:tc>
          <w:tcPr>
            <w:tcW w:w="631" w:type="pct"/>
          </w:tcPr>
          <w:p w14:paraId="08EC6717" w14:textId="77777777" w:rsidR="005713ED" w:rsidRPr="00B356FD" w:rsidRDefault="005713ED" w:rsidP="00F26305">
            <w:pPr>
              <w:pStyle w:val="Compact"/>
              <w:rPr>
                <w:sz w:val="20"/>
                <w:szCs w:val="20"/>
              </w:rPr>
            </w:pPr>
            <w:r w:rsidRPr="00B356FD">
              <w:rPr>
                <w:sz w:val="20"/>
                <w:szCs w:val="20"/>
              </w:rPr>
              <w:t>Low</w:t>
            </w:r>
          </w:p>
        </w:tc>
        <w:tc>
          <w:tcPr>
            <w:tcW w:w="631" w:type="pct"/>
          </w:tcPr>
          <w:p w14:paraId="703B95A0" w14:textId="77777777" w:rsidR="005713ED" w:rsidRPr="00B356FD" w:rsidRDefault="005713ED" w:rsidP="00F26305">
            <w:pPr>
              <w:pStyle w:val="Compact"/>
              <w:rPr>
                <w:sz w:val="20"/>
                <w:szCs w:val="20"/>
              </w:rPr>
            </w:pPr>
            <w:r w:rsidRPr="00B356FD">
              <w:rPr>
                <w:sz w:val="20"/>
                <w:szCs w:val="20"/>
              </w:rPr>
              <w:t>Low</w:t>
            </w:r>
          </w:p>
        </w:tc>
        <w:tc>
          <w:tcPr>
            <w:tcW w:w="631" w:type="pct"/>
          </w:tcPr>
          <w:p w14:paraId="38E804C6" w14:textId="77777777" w:rsidR="005713ED" w:rsidRPr="00B356FD" w:rsidRDefault="005713ED" w:rsidP="00F26305">
            <w:pPr>
              <w:pStyle w:val="Compact"/>
              <w:rPr>
                <w:sz w:val="20"/>
                <w:szCs w:val="20"/>
              </w:rPr>
            </w:pPr>
            <w:r w:rsidRPr="00B356FD">
              <w:rPr>
                <w:sz w:val="20"/>
                <w:szCs w:val="20"/>
              </w:rPr>
              <w:t>Some concerns</w:t>
            </w:r>
          </w:p>
        </w:tc>
        <w:tc>
          <w:tcPr>
            <w:tcW w:w="631" w:type="pct"/>
          </w:tcPr>
          <w:p w14:paraId="380BFE44" w14:textId="77777777" w:rsidR="005713ED" w:rsidRPr="00B356FD" w:rsidRDefault="005713ED" w:rsidP="00F26305">
            <w:pPr>
              <w:pStyle w:val="Compact"/>
              <w:rPr>
                <w:sz w:val="20"/>
                <w:szCs w:val="20"/>
              </w:rPr>
            </w:pPr>
            <w:r w:rsidRPr="00B356FD">
              <w:rPr>
                <w:sz w:val="20"/>
                <w:szCs w:val="20"/>
              </w:rPr>
              <w:t>Low</w:t>
            </w:r>
          </w:p>
        </w:tc>
        <w:tc>
          <w:tcPr>
            <w:tcW w:w="713" w:type="pct"/>
          </w:tcPr>
          <w:p w14:paraId="3F26447B" w14:textId="7A6374A8" w:rsidR="005713ED" w:rsidRPr="00B356FD" w:rsidRDefault="005713ED" w:rsidP="00F26305">
            <w:pPr>
              <w:pStyle w:val="Compact"/>
              <w:jc w:val="right"/>
              <w:rPr>
                <w:sz w:val="20"/>
                <w:szCs w:val="20"/>
              </w:rPr>
            </w:pPr>
            <w:r w:rsidRPr="00B356FD">
              <w:rPr>
                <w:sz w:val="20"/>
                <w:szCs w:val="20"/>
              </w:rPr>
              <w:t>12.5</w:t>
            </w:r>
          </w:p>
        </w:tc>
      </w:tr>
      <w:tr w:rsidR="00B356FD" w:rsidRPr="00B356FD" w14:paraId="2A0B4AF0" w14:textId="77777777" w:rsidTr="00B356FD">
        <w:tc>
          <w:tcPr>
            <w:tcW w:w="501" w:type="pct"/>
            <w:shd w:val="clear" w:color="auto" w:fill="D9D9D9" w:themeFill="background1" w:themeFillShade="D9"/>
          </w:tcPr>
          <w:p w14:paraId="28CCD09E" w14:textId="77777777" w:rsidR="005713ED" w:rsidRPr="00B356FD" w:rsidRDefault="005713ED" w:rsidP="00F26305">
            <w:pPr>
              <w:pStyle w:val="Compact"/>
              <w:rPr>
                <w:sz w:val="20"/>
                <w:szCs w:val="20"/>
              </w:rPr>
            </w:pPr>
            <w:r w:rsidRPr="00B356FD">
              <w:rPr>
                <w:sz w:val="20"/>
                <w:szCs w:val="20"/>
              </w:rPr>
              <w:t>Study 6</w:t>
            </w:r>
          </w:p>
        </w:tc>
        <w:tc>
          <w:tcPr>
            <w:tcW w:w="631" w:type="pct"/>
            <w:shd w:val="clear" w:color="auto" w:fill="D9D9D9" w:themeFill="background1" w:themeFillShade="D9"/>
          </w:tcPr>
          <w:p w14:paraId="546BF5AB" w14:textId="77777777" w:rsidR="005713ED" w:rsidRPr="00B356FD" w:rsidRDefault="005713ED" w:rsidP="00F26305">
            <w:pPr>
              <w:pStyle w:val="Compact"/>
              <w:rPr>
                <w:sz w:val="20"/>
                <w:szCs w:val="20"/>
              </w:rPr>
            </w:pPr>
            <w:r w:rsidRPr="00B356FD">
              <w:rPr>
                <w:sz w:val="20"/>
                <w:szCs w:val="20"/>
              </w:rPr>
              <w:t>Low</w:t>
            </w:r>
          </w:p>
        </w:tc>
        <w:tc>
          <w:tcPr>
            <w:tcW w:w="631" w:type="pct"/>
            <w:shd w:val="clear" w:color="auto" w:fill="D9D9D9" w:themeFill="background1" w:themeFillShade="D9"/>
          </w:tcPr>
          <w:p w14:paraId="4CBC8AC5" w14:textId="77777777" w:rsidR="005713ED" w:rsidRPr="00B356FD" w:rsidRDefault="005713ED" w:rsidP="00F26305">
            <w:pPr>
              <w:pStyle w:val="Compact"/>
              <w:rPr>
                <w:sz w:val="20"/>
                <w:szCs w:val="20"/>
              </w:rPr>
            </w:pPr>
            <w:r w:rsidRPr="00B356FD">
              <w:rPr>
                <w:sz w:val="20"/>
                <w:szCs w:val="20"/>
              </w:rPr>
              <w:t>High</w:t>
            </w:r>
          </w:p>
        </w:tc>
        <w:tc>
          <w:tcPr>
            <w:tcW w:w="631" w:type="pct"/>
            <w:shd w:val="clear" w:color="auto" w:fill="D9D9D9" w:themeFill="background1" w:themeFillShade="D9"/>
          </w:tcPr>
          <w:p w14:paraId="782485C0" w14:textId="77777777" w:rsidR="005713ED" w:rsidRPr="00B356FD" w:rsidRDefault="005713ED" w:rsidP="00F26305">
            <w:pPr>
              <w:pStyle w:val="Compact"/>
              <w:rPr>
                <w:sz w:val="20"/>
                <w:szCs w:val="20"/>
              </w:rPr>
            </w:pPr>
            <w:r w:rsidRPr="00B356FD">
              <w:rPr>
                <w:sz w:val="20"/>
                <w:szCs w:val="20"/>
              </w:rPr>
              <w:t>Some concerns</w:t>
            </w:r>
          </w:p>
        </w:tc>
        <w:tc>
          <w:tcPr>
            <w:tcW w:w="631" w:type="pct"/>
            <w:shd w:val="clear" w:color="auto" w:fill="D9D9D9" w:themeFill="background1" w:themeFillShade="D9"/>
          </w:tcPr>
          <w:p w14:paraId="2C2BFCF4" w14:textId="77777777" w:rsidR="005713ED" w:rsidRPr="00B356FD" w:rsidRDefault="005713ED" w:rsidP="00F26305">
            <w:pPr>
              <w:pStyle w:val="Compact"/>
              <w:rPr>
                <w:sz w:val="20"/>
                <w:szCs w:val="20"/>
              </w:rPr>
            </w:pPr>
            <w:r w:rsidRPr="00B356FD">
              <w:rPr>
                <w:sz w:val="20"/>
                <w:szCs w:val="20"/>
              </w:rPr>
              <w:t>Low</w:t>
            </w:r>
          </w:p>
        </w:tc>
        <w:tc>
          <w:tcPr>
            <w:tcW w:w="631" w:type="pct"/>
            <w:shd w:val="clear" w:color="auto" w:fill="D9D9D9" w:themeFill="background1" w:themeFillShade="D9"/>
          </w:tcPr>
          <w:p w14:paraId="2E93ED31" w14:textId="77777777" w:rsidR="005713ED" w:rsidRPr="00B356FD" w:rsidRDefault="005713ED" w:rsidP="00F26305">
            <w:pPr>
              <w:pStyle w:val="Compact"/>
              <w:rPr>
                <w:sz w:val="20"/>
                <w:szCs w:val="20"/>
              </w:rPr>
            </w:pPr>
            <w:r w:rsidRPr="00B356FD">
              <w:rPr>
                <w:sz w:val="20"/>
                <w:szCs w:val="20"/>
              </w:rPr>
              <w:t>Low</w:t>
            </w:r>
          </w:p>
        </w:tc>
        <w:tc>
          <w:tcPr>
            <w:tcW w:w="631" w:type="pct"/>
            <w:shd w:val="clear" w:color="auto" w:fill="D9D9D9" w:themeFill="background1" w:themeFillShade="D9"/>
          </w:tcPr>
          <w:p w14:paraId="7BFF2E63" w14:textId="77777777" w:rsidR="005713ED" w:rsidRPr="00B356FD" w:rsidRDefault="005713ED" w:rsidP="00F26305">
            <w:pPr>
              <w:pStyle w:val="Compact"/>
              <w:rPr>
                <w:sz w:val="20"/>
                <w:szCs w:val="20"/>
              </w:rPr>
            </w:pPr>
            <w:r w:rsidRPr="00B356FD">
              <w:rPr>
                <w:sz w:val="20"/>
                <w:szCs w:val="20"/>
              </w:rPr>
              <w:t>Some concerns</w:t>
            </w:r>
          </w:p>
        </w:tc>
        <w:tc>
          <w:tcPr>
            <w:tcW w:w="713" w:type="pct"/>
            <w:shd w:val="clear" w:color="auto" w:fill="D9D9D9" w:themeFill="background1" w:themeFillShade="D9"/>
          </w:tcPr>
          <w:p w14:paraId="07A39802" w14:textId="30D85984" w:rsidR="005713ED" w:rsidRPr="00B356FD" w:rsidRDefault="005713ED" w:rsidP="00F26305">
            <w:pPr>
              <w:pStyle w:val="Compact"/>
              <w:jc w:val="right"/>
              <w:rPr>
                <w:sz w:val="20"/>
                <w:szCs w:val="20"/>
              </w:rPr>
            </w:pPr>
            <w:r w:rsidRPr="00B356FD">
              <w:rPr>
                <w:sz w:val="20"/>
                <w:szCs w:val="20"/>
              </w:rPr>
              <w:t>25</w:t>
            </w:r>
          </w:p>
        </w:tc>
      </w:tr>
      <w:tr w:rsidR="005713ED" w:rsidRPr="00B356FD" w14:paraId="08D954FF" w14:textId="77777777" w:rsidTr="00B356FD">
        <w:tc>
          <w:tcPr>
            <w:tcW w:w="501" w:type="pct"/>
          </w:tcPr>
          <w:p w14:paraId="0E46943C" w14:textId="77777777" w:rsidR="005713ED" w:rsidRPr="00B356FD" w:rsidRDefault="005713ED" w:rsidP="00F26305">
            <w:pPr>
              <w:pStyle w:val="Compact"/>
              <w:rPr>
                <w:sz w:val="20"/>
                <w:szCs w:val="20"/>
              </w:rPr>
            </w:pPr>
            <w:r w:rsidRPr="00B356FD">
              <w:rPr>
                <w:sz w:val="20"/>
                <w:szCs w:val="20"/>
              </w:rPr>
              <w:t>Study 7</w:t>
            </w:r>
          </w:p>
        </w:tc>
        <w:tc>
          <w:tcPr>
            <w:tcW w:w="631" w:type="pct"/>
          </w:tcPr>
          <w:p w14:paraId="44B17A5E" w14:textId="77777777" w:rsidR="005713ED" w:rsidRPr="00B356FD" w:rsidRDefault="005713ED" w:rsidP="00F26305">
            <w:pPr>
              <w:pStyle w:val="Compact"/>
              <w:rPr>
                <w:sz w:val="20"/>
                <w:szCs w:val="20"/>
              </w:rPr>
            </w:pPr>
            <w:r w:rsidRPr="00B356FD">
              <w:rPr>
                <w:sz w:val="20"/>
                <w:szCs w:val="20"/>
              </w:rPr>
              <w:t>Low</w:t>
            </w:r>
          </w:p>
        </w:tc>
        <w:tc>
          <w:tcPr>
            <w:tcW w:w="631" w:type="pct"/>
          </w:tcPr>
          <w:p w14:paraId="67B0474E" w14:textId="77777777" w:rsidR="005713ED" w:rsidRPr="00B356FD" w:rsidRDefault="005713ED" w:rsidP="00F26305">
            <w:pPr>
              <w:pStyle w:val="Compact"/>
              <w:rPr>
                <w:sz w:val="20"/>
                <w:szCs w:val="20"/>
              </w:rPr>
            </w:pPr>
            <w:r w:rsidRPr="00B356FD">
              <w:rPr>
                <w:sz w:val="20"/>
                <w:szCs w:val="20"/>
              </w:rPr>
              <w:t>Some concerns</w:t>
            </w:r>
          </w:p>
        </w:tc>
        <w:tc>
          <w:tcPr>
            <w:tcW w:w="631" w:type="pct"/>
          </w:tcPr>
          <w:p w14:paraId="70AC6F66" w14:textId="77777777" w:rsidR="005713ED" w:rsidRPr="00B356FD" w:rsidRDefault="005713ED" w:rsidP="00F26305">
            <w:pPr>
              <w:pStyle w:val="Compact"/>
              <w:rPr>
                <w:sz w:val="20"/>
                <w:szCs w:val="20"/>
              </w:rPr>
            </w:pPr>
            <w:r w:rsidRPr="00B356FD">
              <w:rPr>
                <w:sz w:val="20"/>
                <w:szCs w:val="20"/>
              </w:rPr>
              <w:t>Some concerns</w:t>
            </w:r>
          </w:p>
        </w:tc>
        <w:tc>
          <w:tcPr>
            <w:tcW w:w="631" w:type="pct"/>
          </w:tcPr>
          <w:p w14:paraId="223A83C2" w14:textId="77777777" w:rsidR="005713ED" w:rsidRPr="00B356FD" w:rsidRDefault="005713ED" w:rsidP="00F26305">
            <w:pPr>
              <w:pStyle w:val="Compact"/>
              <w:rPr>
                <w:sz w:val="20"/>
                <w:szCs w:val="20"/>
              </w:rPr>
            </w:pPr>
            <w:r w:rsidRPr="00B356FD">
              <w:rPr>
                <w:sz w:val="20"/>
                <w:szCs w:val="20"/>
              </w:rPr>
              <w:t>High</w:t>
            </w:r>
          </w:p>
        </w:tc>
        <w:tc>
          <w:tcPr>
            <w:tcW w:w="631" w:type="pct"/>
          </w:tcPr>
          <w:p w14:paraId="39DD6BF0" w14:textId="77777777" w:rsidR="005713ED" w:rsidRPr="00B356FD" w:rsidRDefault="005713ED" w:rsidP="00F26305">
            <w:pPr>
              <w:pStyle w:val="Compact"/>
              <w:rPr>
                <w:sz w:val="20"/>
                <w:szCs w:val="20"/>
              </w:rPr>
            </w:pPr>
            <w:r w:rsidRPr="00B356FD">
              <w:rPr>
                <w:sz w:val="20"/>
                <w:szCs w:val="20"/>
              </w:rPr>
              <w:t>Low</w:t>
            </w:r>
          </w:p>
        </w:tc>
        <w:tc>
          <w:tcPr>
            <w:tcW w:w="631" w:type="pct"/>
          </w:tcPr>
          <w:p w14:paraId="7E82B472" w14:textId="77777777" w:rsidR="005713ED" w:rsidRPr="00B356FD" w:rsidRDefault="005713ED" w:rsidP="00F26305">
            <w:pPr>
              <w:pStyle w:val="Compact"/>
              <w:rPr>
                <w:sz w:val="20"/>
                <w:szCs w:val="20"/>
              </w:rPr>
            </w:pPr>
            <w:r w:rsidRPr="00B356FD">
              <w:rPr>
                <w:sz w:val="20"/>
                <w:szCs w:val="20"/>
              </w:rPr>
              <w:t>Some concerns</w:t>
            </w:r>
          </w:p>
        </w:tc>
        <w:tc>
          <w:tcPr>
            <w:tcW w:w="713" w:type="pct"/>
          </w:tcPr>
          <w:p w14:paraId="77516695" w14:textId="40061D72" w:rsidR="005713ED" w:rsidRPr="00B356FD" w:rsidRDefault="005713ED" w:rsidP="00F26305">
            <w:pPr>
              <w:pStyle w:val="Compact"/>
              <w:jc w:val="right"/>
              <w:rPr>
                <w:sz w:val="20"/>
                <w:szCs w:val="20"/>
              </w:rPr>
            </w:pPr>
            <w:r w:rsidRPr="00B356FD">
              <w:rPr>
                <w:sz w:val="20"/>
                <w:szCs w:val="20"/>
              </w:rPr>
              <w:t>200</w:t>
            </w:r>
          </w:p>
        </w:tc>
      </w:tr>
      <w:tr w:rsidR="00B356FD" w:rsidRPr="00B356FD" w14:paraId="1719B79B" w14:textId="77777777" w:rsidTr="00B356FD">
        <w:tc>
          <w:tcPr>
            <w:tcW w:w="501" w:type="pct"/>
            <w:shd w:val="clear" w:color="auto" w:fill="D9D9D9" w:themeFill="background1" w:themeFillShade="D9"/>
          </w:tcPr>
          <w:p w14:paraId="149E7FA6" w14:textId="77777777" w:rsidR="005713ED" w:rsidRPr="00B356FD" w:rsidRDefault="005713ED" w:rsidP="00F26305">
            <w:pPr>
              <w:pStyle w:val="Compact"/>
              <w:rPr>
                <w:sz w:val="20"/>
                <w:szCs w:val="20"/>
              </w:rPr>
            </w:pPr>
            <w:r w:rsidRPr="00B356FD">
              <w:rPr>
                <w:sz w:val="20"/>
                <w:szCs w:val="20"/>
              </w:rPr>
              <w:t>Study 8</w:t>
            </w:r>
          </w:p>
        </w:tc>
        <w:tc>
          <w:tcPr>
            <w:tcW w:w="631" w:type="pct"/>
            <w:shd w:val="clear" w:color="auto" w:fill="D9D9D9" w:themeFill="background1" w:themeFillShade="D9"/>
          </w:tcPr>
          <w:p w14:paraId="1F93C1F2" w14:textId="77777777" w:rsidR="005713ED" w:rsidRPr="00B356FD" w:rsidRDefault="005713ED" w:rsidP="00F26305">
            <w:pPr>
              <w:pStyle w:val="Compact"/>
              <w:rPr>
                <w:sz w:val="20"/>
                <w:szCs w:val="20"/>
              </w:rPr>
            </w:pPr>
            <w:r w:rsidRPr="00B356FD">
              <w:rPr>
                <w:sz w:val="20"/>
                <w:szCs w:val="20"/>
              </w:rPr>
              <w:t>Low</w:t>
            </w:r>
          </w:p>
        </w:tc>
        <w:tc>
          <w:tcPr>
            <w:tcW w:w="631" w:type="pct"/>
            <w:shd w:val="clear" w:color="auto" w:fill="D9D9D9" w:themeFill="background1" w:themeFillShade="D9"/>
          </w:tcPr>
          <w:p w14:paraId="02843510" w14:textId="77777777" w:rsidR="005713ED" w:rsidRPr="00B356FD" w:rsidRDefault="005713ED" w:rsidP="00F26305">
            <w:pPr>
              <w:pStyle w:val="Compact"/>
              <w:rPr>
                <w:sz w:val="20"/>
                <w:szCs w:val="20"/>
              </w:rPr>
            </w:pPr>
            <w:r w:rsidRPr="00B356FD">
              <w:rPr>
                <w:sz w:val="20"/>
                <w:szCs w:val="20"/>
              </w:rPr>
              <w:t>Some concerns</w:t>
            </w:r>
          </w:p>
        </w:tc>
        <w:tc>
          <w:tcPr>
            <w:tcW w:w="631" w:type="pct"/>
            <w:shd w:val="clear" w:color="auto" w:fill="D9D9D9" w:themeFill="background1" w:themeFillShade="D9"/>
          </w:tcPr>
          <w:p w14:paraId="24F4599E" w14:textId="77777777" w:rsidR="005713ED" w:rsidRPr="00B356FD" w:rsidRDefault="005713ED" w:rsidP="00F26305">
            <w:pPr>
              <w:pStyle w:val="Compact"/>
              <w:rPr>
                <w:sz w:val="20"/>
                <w:szCs w:val="20"/>
              </w:rPr>
            </w:pPr>
            <w:r w:rsidRPr="00B356FD">
              <w:rPr>
                <w:sz w:val="20"/>
                <w:szCs w:val="20"/>
              </w:rPr>
              <w:t>Low</w:t>
            </w:r>
          </w:p>
        </w:tc>
        <w:tc>
          <w:tcPr>
            <w:tcW w:w="631" w:type="pct"/>
            <w:shd w:val="clear" w:color="auto" w:fill="D9D9D9" w:themeFill="background1" w:themeFillShade="D9"/>
          </w:tcPr>
          <w:p w14:paraId="4D1EBBB8" w14:textId="77777777" w:rsidR="005713ED" w:rsidRPr="00B356FD" w:rsidRDefault="005713ED" w:rsidP="00F26305">
            <w:pPr>
              <w:pStyle w:val="Compact"/>
              <w:rPr>
                <w:sz w:val="20"/>
                <w:szCs w:val="20"/>
              </w:rPr>
            </w:pPr>
            <w:r w:rsidRPr="00B356FD">
              <w:rPr>
                <w:sz w:val="20"/>
                <w:szCs w:val="20"/>
              </w:rPr>
              <w:t>Low</w:t>
            </w:r>
          </w:p>
        </w:tc>
        <w:tc>
          <w:tcPr>
            <w:tcW w:w="631" w:type="pct"/>
            <w:shd w:val="clear" w:color="auto" w:fill="D9D9D9" w:themeFill="background1" w:themeFillShade="D9"/>
          </w:tcPr>
          <w:p w14:paraId="2F1470F7" w14:textId="77777777" w:rsidR="005713ED" w:rsidRPr="00B356FD" w:rsidRDefault="005713ED" w:rsidP="00F26305">
            <w:pPr>
              <w:pStyle w:val="Compact"/>
              <w:rPr>
                <w:sz w:val="20"/>
                <w:szCs w:val="20"/>
              </w:rPr>
            </w:pPr>
            <w:r w:rsidRPr="00B356FD">
              <w:rPr>
                <w:sz w:val="20"/>
                <w:szCs w:val="20"/>
              </w:rPr>
              <w:t>Low</w:t>
            </w:r>
          </w:p>
        </w:tc>
        <w:tc>
          <w:tcPr>
            <w:tcW w:w="631" w:type="pct"/>
            <w:shd w:val="clear" w:color="auto" w:fill="D9D9D9" w:themeFill="background1" w:themeFillShade="D9"/>
          </w:tcPr>
          <w:p w14:paraId="3E3E7585" w14:textId="77777777" w:rsidR="005713ED" w:rsidRPr="00B356FD" w:rsidRDefault="005713ED" w:rsidP="00F26305">
            <w:pPr>
              <w:pStyle w:val="Compact"/>
              <w:rPr>
                <w:sz w:val="20"/>
                <w:szCs w:val="20"/>
              </w:rPr>
            </w:pPr>
            <w:r w:rsidRPr="00B356FD">
              <w:rPr>
                <w:sz w:val="20"/>
                <w:szCs w:val="20"/>
              </w:rPr>
              <w:t>Low</w:t>
            </w:r>
          </w:p>
        </w:tc>
        <w:tc>
          <w:tcPr>
            <w:tcW w:w="713" w:type="pct"/>
            <w:shd w:val="clear" w:color="auto" w:fill="D9D9D9" w:themeFill="background1" w:themeFillShade="D9"/>
          </w:tcPr>
          <w:p w14:paraId="7D2F3539" w14:textId="77777777" w:rsidR="005713ED" w:rsidRPr="00B356FD" w:rsidRDefault="005713ED" w:rsidP="00F26305">
            <w:pPr>
              <w:pStyle w:val="Compact"/>
              <w:jc w:val="right"/>
              <w:rPr>
                <w:sz w:val="20"/>
                <w:szCs w:val="20"/>
              </w:rPr>
            </w:pPr>
            <w:r w:rsidRPr="00B356FD">
              <w:rPr>
                <w:sz w:val="20"/>
                <w:szCs w:val="20"/>
              </w:rPr>
              <w:t>11.1111111</w:t>
            </w:r>
          </w:p>
        </w:tc>
      </w:tr>
      <w:tr w:rsidR="005713ED" w:rsidRPr="00B356FD" w14:paraId="32E5E309" w14:textId="77777777" w:rsidTr="00B356FD">
        <w:tc>
          <w:tcPr>
            <w:tcW w:w="501" w:type="pct"/>
          </w:tcPr>
          <w:p w14:paraId="50A57E5D" w14:textId="77777777" w:rsidR="005713ED" w:rsidRPr="00B356FD" w:rsidRDefault="005713ED" w:rsidP="00F26305">
            <w:pPr>
              <w:pStyle w:val="Compact"/>
              <w:rPr>
                <w:sz w:val="20"/>
                <w:szCs w:val="20"/>
              </w:rPr>
            </w:pPr>
            <w:r w:rsidRPr="00B356FD">
              <w:rPr>
                <w:sz w:val="20"/>
                <w:szCs w:val="20"/>
              </w:rPr>
              <w:t>Study 9</w:t>
            </w:r>
          </w:p>
        </w:tc>
        <w:tc>
          <w:tcPr>
            <w:tcW w:w="631" w:type="pct"/>
          </w:tcPr>
          <w:p w14:paraId="77ED9371" w14:textId="77777777" w:rsidR="005713ED" w:rsidRPr="00B356FD" w:rsidRDefault="005713ED" w:rsidP="00F26305">
            <w:pPr>
              <w:pStyle w:val="Compact"/>
              <w:rPr>
                <w:sz w:val="20"/>
                <w:szCs w:val="20"/>
              </w:rPr>
            </w:pPr>
            <w:r w:rsidRPr="00B356FD">
              <w:rPr>
                <w:sz w:val="20"/>
                <w:szCs w:val="20"/>
              </w:rPr>
              <w:t>Low</w:t>
            </w:r>
          </w:p>
        </w:tc>
        <w:tc>
          <w:tcPr>
            <w:tcW w:w="631" w:type="pct"/>
          </w:tcPr>
          <w:p w14:paraId="703E5833" w14:textId="77777777" w:rsidR="005713ED" w:rsidRPr="00B356FD" w:rsidRDefault="005713ED" w:rsidP="00F26305">
            <w:pPr>
              <w:pStyle w:val="Compact"/>
              <w:rPr>
                <w:sz w:val="20"/>
                <w:szCs w:val="20"/>
              </w:rPr>
            </w:pPr>
            <w:r w:rsidRPr="00B356FD">
              <w:rPr>
                <w:sz w:val="20"/>
                <w:szCs w:val="20"/>
              </w:rPr>
              <w:t>Low</w:t>
            </w:r>
          </w:p>
        </w:tc>
        <w:tc>
          <w:tcPr>
            <w:tcW w:w="631" w:type="pct"/>
          </w:tcPr>
          <w:p w14:paraId="22CA8A00" w14:textId="77777777" w:rsidR="005713ED" w:rsidRPr="00B356FD" w:rsidRDefault="005713ED" w:rsidP="00F26305">
            <w:pPr>
              <w:pStyle w:val="Compact"/>
              <w:rPr>
                <w:sz w:val="20"/>
                <w:szCs w:val="20"/>
              </w:rPr>
            </w:pPr>
            <w:r w:rsidRPr="00B356FD">
              <w:rPr>
                <w:sz w:val="20"/>
                <w:szCs w:val="20"/>
              </w:rPr>
              <w:t>High</w:t>
            </w:r>
          </w:p>
        </w:tc>
        <w:tc>
          <w:tcPr>
            <w:tcW w:w="631" w:type="pct"/>
          </w:tcPr>
          <w:p w14:paraId="4F1CE403" w14:textId="77777777" w:rsidR="005713ED" w:rsidRPr="00B356FD" w:rsidRDefault="005713ED" w:rsidP="00F26305">
            <w:pPr>
              <w:pStyle w:val="Compact"/>
              <w:rPr>
                <w:sz w:val="20"/>
                <w:szCs w:val="20"/>
              </w:rPr>
            </w:pPr>
            <w:r w:rsidRPr="00B356FD">
              <w:rPr>
                <w:sz w:val="20"/>
                <w:szCs w:val="20"/>
              </w:rPr>
              <w:t>Low</w:t>
            </w:r>
          </w:p>
        </w:tc>
        <w:tc>
          <w:tcPr>
            <w:tcW w:w="631" w:type="pct"/>
          </w:tcPr>
          <w:p w14:paraId="226421E8" w14:textId="77777777" w:rsidR="005713ED" w:rsidRPr="00B356FD" w:rsidRDefault="005713ED" w:rsidP="00F26305">
            <w:pPr>
              <w:pStyle w:val="Compact"/>
              <w:rPr>
                <w:sz w:val="20"/>
                <w:szCs w:val="20"/>
              </w:rPr>
            </w:pPr>
            <w:r w:rsidRPr="00B356FD">
              <w:rPr>
                <w:sz w:val="20"/>
                <w:szCs w:val="20"/>
              </w:rPr>
              <w:t>Low</w:t>
            </w:r>
          </w:p>
        </w:tc>
        <w:tc>
          <w:tcPr>
            <w:tcW w:w="631" w:type="pct"/>
          </w:tcPr>
          <w:p w14:paraId="76757A73" w14:textId="77777777" w:rsidR="005713ED" w:rsidRPr="00B356FD" w:rsidRDefault="005713ED" w:rsidP="00F26305">
            <w:pPr>
              <w:pStyle w:val="Compact"/>
              <w:rPr>
                <w:sz w:val="20"/>
                <w:szCs w:val="20"/>
              </w:rPr>
            </w:pPr>
            <w:r w:rsidRPr="00B356FD">
              <w:rPr>
                <w:sz w:val="20"/>
                <w:szCs w:val="20"/>
              </w:rPr>
              <w:t>High</w:t>
            </w:r>
          </w:p>
        </w:tc>
        <w:tc>
          <w:tcPr>
            <w:tcW w:w="713" w:type="pct"/>
          </w:tcPr>
          <w:p w14:paraId="13E77E53" w14:textId="77777777" w:rsidR="005713ED" w:rsidRPr="00B356FD" w:rsidRDefault="005713ED" w:rsidP="00F26305">
            <w:pPr>
              <w:pStyle w:val="Compact"/>
              <w:jc w:val="right"/>
              <w:rPr>
                <w:sz w:val="20"/>
                <w:szCs w:val="20"/>
              </w:rPr>
            </w:pPr>
            <w:r w:rsidRPr="00B356FD">
              <w:rPr>
                <w:sz w:val="20"/>
                <w:szCs w:val="20"/>
              </w:rPr>
              <w:t>1.1111111</w:t>
            </w:r>
          </w:p>
        </w:tc>
      </w:tr>
    </w:tbl>
    <w:p w14:paraId="3843A28B" w14:textId="77777777" w:rsidR="005713ED" w:rsidRDefault="005713ED" w:rsidP="005713ED">
      <w:pPr>
        <w:pStyle w:val="TableCaption"/>
      </w:pPr>
      <w:bookmarkStart w:id="22" w:name="section-4"/>
      <w:bookmarkEnd w:id="22"/>
    </w:p>
    <w:p w14:paraId="15BF72E9" w14:textId="77777777" w:rsidR="005713ED" w:rsidRDefault="005713ED" w:rsidP="005713ED">
      <w:pPr>
        <w:rPr>
          <w:i/>
        </w:rPr>
      </w:pPr>
      <w:r>
        <w:br w:type="page"/>
      </w:r>
    </w:p>
    <w:p w14:paraId="6CA801E6" w14:textId="77777777" w:rsidR="005713ED" w:rsidRDefault="005713ED" w:rsidP="005713ED">
      <w:pPr>
        <w:pStyle w:val="TableCaption"/>
      </w:pPr>
      <w:r>
        <w:lastRenderedPageBreak/>
        <w:t xml:space="preserve">Table 2: Description of the arguments available in the two main </w:t>
      </w:r>
      <w:r>
        <w:rPr>
          <w:rStyle w:val="VerbatimChar"/>
        </w:rPr>
        <w:t>robvis</w:t>
      </w:r>
      <w:r>
        <w:t xml:space="preserve"> functions</w:t>
      </w:r>
    </w:p>
    <w:tbl>
      <w:tblPr>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141"/>
        <w:gridCol w:w="1646"/>
        <w:gridCol w:w="2306"/>
        <w:gridCol w:w="4483"/>
      </w:tblGrid>
      <w:tr w:rsidR="005713ED" w:rsidRPr="00D64D28" w14:paraId="4918DCAC" w14:textId="77777777" w:rsidTr="00D234D6">
        <w:tc>
          <w:tcPr>
            <w:tcW w:w="0" w:type="auto"/>
            <w:shd w:val="clear" w:color="auto" w:fill="BFBFBF" w:themeFill="background1" w:themeFillShade="BF"/>
            <w:vAlign w:val="bottom"/>
          </w:tcPr>
          <w:p w14:paraId="045DC9AC" w14:textId="77777777" w:rsidR="005713ED" w:rsidRPr="00D64D28" w:rsidRDefault="005713ED" w:rsidP="00F26305">
            <w:pPr>
              <w:pStyle w:val="Compact"/>
              <w:rPr>
                <w:b/>
                <w:bCs/>
                <w:sz w:val="20"/>
                <w:szCs w:val="20"/>
              </w:rPr>
            </w:pPr>
            <w:r w:rsidRPr="00D64D28">
              <w:rPr>
                <w:b/>
                <w:bCs/>
                <w:sz w:val="20"/>
                <w:szCs w:val="20"/>
              </w:rPr>
              <w:t>Argument</w:t>
            </w:r>
          </w:p>
        </w:tc>
        <w:tc>
          <w:tcPr>
            <w:tcW w:w="0" w:type="auto"/>
            <w:shd w:val="clear" w:color="auto" w:fill="BFBFBF" w:themeFill="background1" w:themeFillShade="BF"/>
            <w:vAlign w:val="center"/>
          </w:tcPr>
          <w:p w14:paraId="1D0E7B5E" w14:textId="77777777" w:rsidR="005713ED" w:rsidRPr="00D64D28" w:rsidRDefault="005713ED" w:rsidP="00D64D28">
            <w:pPr>
              <w:pStyle w:val="Compact"/>
              <w:jc w:val="center"/>
              <w:rPr>
                <w:b/>
                <w:bCs/>
                <w:sz w:val="20"/>
                <w:szCs w:val="20"/>
              </w:rPr>
            </w:pPr>
            <w:r w:rsidRPr="00D64D28">
              <w:rPr>
                <w:rStyle w:val="VerbatimChar"/>
                <w:b/>
                <w:bCs/>
                <w:sz w:val="20"/>
                <w:szCs w:val="20"/>
              </w:rPr>
              <w:t>rob_summary()</w:t>
            </w:r>
          </w:p>
        </w:tc>
        <w:tc>
          <w:tcPr>
            <w:tcW w:w="0" w:type="auto"/>
            <w:shd w:val="clear" w:color="auto" w:fill="BFBFBF" w:themeFill="background1" w:themeFillShade="BF"/>
            <w:vAlign w:val="center"/>
          </w:tcPr>
          <w:p w14:paraId="4F9F7B3F" w14:textId="77777777" w:rsidR="005713ED" w:rsidRPr="00D64D28" w:rsidRDefault="005713ED" w:rsidP="00D64D28">
            <w:pPr>
              <w:pStyle w:val="Compact"/>
              <w:jc w:val="center"/>
              <w:rPr>
                <w:b/>
                <w:bCs/>
                <w:sz w:val="20"/>
                <w:szCs w:val="20"/>
              </w:rPr>
            </w:pPr>
            <w:r w:rsidRPr="00D64D28">
              <w:rPr>
                <w:rStyle w:val="VerbatimChar"/>
                <w:b/>
                <w:bCs/>
                <w:sz w:val="20"/>
                <w:szCs w:val="20"/>
              </w:rPr>
              <w:t>rob_traffic_light()</w:t>
            </w:r>
          </w:p>
        </w:tc>
        <w:tc>
          <w:tcPr>
            <w:tcW w:w="0" w:type="auto"/>
            <w:shd w:val="clear" w:color="auto" w:fill="BFBFBF" w:themeFill="background1" w:themeFillShade="BF"/>
            <w:vAlign w:val="bottom"/>
          </w:tcPr>
          <w:p w14:paraId="3447FF45" w14:textId="77777777" w:rsidR="005713ED" w:rsidRPr="00D64D28" w:rsidRDefault="005713ED" w:rsidP="00F26305">
            <w:pPr>
              <w:pStyle w:val="Compact"/>
              <w:rPr>
                <w:b/>
                <w:bCs/>
                <w:sz w:val="20"/>
                <w:szCs w:val="20"/>
              </w:rPr>
            </w:pPr>
            <w:r w:rsidRPr="00D64D28">
              <w:rPr>
                <w:b/>
                <w:bCs/>
                <w:sz w:val="20"/>
                <w:szCs w:val="20"/>
              </w:rPr>
              <w:t>Description</w:t>
            </w:r>
          </w:p>
        </w:tc>
      </w:tr>
      <w:tr w:rsidR="005713ED" w:rsidRPr="00D64D28" w14:paraId="4B6316D7" w14:textId="77777777" w:rsidTr="00D64D28">
        <w:tc>
          <w:tcPr>
            <w:tcW w:w="0" w:type="auto"/>
            <w:vAlign w:val="center"/>
          </w:tcPr>
          <w:p w14:paraId="59D68DD2" w14:textId="77777777" w:rsidR="005713ED" w:rsidRPr="00D64D28" w:rsidRDefault="005713ED" w:rsidP="00D64D28">
            <w:pPr>
              <w:pStyle w:val="Compact"/>
              <w:jc w:val="center"/>
              <w:rPr>
                <w:sz w:val="20"/>
                <w:szCs w:val="20"/>
              </w:rPr>
            </w:pPr>
            <w:r w:rsidRPr="00D64D28">
              <w:rPr>
                <w:sz w:val="20"/>
                <w:szCs w:val="20"/>
              </w:rPr>
              <w:t>data</w:t>
            </w:r>
          </w:p>
        </w:tc>
        <w:tc>
          <w:tcPr>
            <w:tcW w:w="0" w:type="auto"/>
            <w:vAlign w:val="center"/>
          </w:tcPr>
          <w:p w14:paraId="170B9B3E" w14:textId="77777777" w:rsidR="005713ED" w:rsidRPr="00D64D28" w:rsidRDefault="005713ED" w:rsidP="00D64D28">
            <w:pPr>
              <w:pStyle w:val="Compact"/>
              <w:jc w:val="center"/>
              <w:rPr>
                <w:sz w:val="20"/>
                <w:szCs w:val="20"/>
              </w:rPr>
            </w:pPr>
            <w:r w:rsidRPr="00D64D28">
              <w:rPr>
                <w:sz w:val="20"/>
                <w:szCs w:val="20"/>
              </w:rPr>
              <w:t>X</w:t>
            </w:r>
          </w:p>
        </w:tc>
        <w:tc>
          <w:tcPr>
            <w:tcW w:w="0" w:type="auto"/>
            <w:vAlign w:val="center"/>
          </w:tcPr>
          <w:p w14:paraId="334F46DB" w14:textId="77777777" w:rsidR="005713ED" w:rsidRPr="00D64D28" w:rsidRDefault="005713ED" w:rsidP="00D64D28">
            <w:pPr>
              <w:pStyle w:val="Compact"/>
              <w:jc w:val="center"/>
              <w:rPr>
                <w:sz w:val="20"/>
                <w:szCs w:val="20"/>
              </w:rPr>
            </w:pPr>
            <w:r w:rsidRPr="00D64D28">
              <w:rPr>
                <w:sz w:val="20"/>
                <w:szCs w:val="20"/>
              </w:rPr>
              <w:t>X</w:t>
            </w:r>
          </w:p>
        </w:tc>
        <w:tc>
          <w:tcPr>
            <w:tcW w:w="0" w:type="auto"/>
          </w:tcPr>
          <w:p w14:paraId="035E1548" w14:textId="1A5E7772" w:rsidR="005713ED" w:rsidRPr="00D64D28" w:rsidRDefault="005713ED" w:rsidP="00F26305">
            <w:pPr>
              <w:pStyle w:val="Compact"/>
              <w:rPr>
                <w:sz w:val="20"/>
                <w:szCs w:val="20"/>
              </w:rPr>
            </w:pPr>
            <w:r w:rsidRPr="00D64D28">
              <w:rPr>
                <w:sz w:val="20"/>
                <w:szCs w:val="20"/>
              </w:rPr>
              <w:t xml:space="preserve">Defines the </w:t>
            </w:r>
            <w:r w:rsidR="00581291" w:rsidRPr="00D64D28">
              <w:rPr>
                <w:sz w:val="20"/>
                <w:szCs w:val="20"/>
              </w:rPr>
              <w:t>data frame</w:t>
            </w:r>
            <w:r w:rsidRPr="00D64D28">
              <w:rPr>
                <w:sz w:val="20"/>
                <w:szCs w:val="20"/>
              </w:rPr>
              <w:t xml:space="preserve"> containing the summary (domain) level risk-of-bias assessments. See the text and Table 1 for the format expected by </w:t>
            </w:r>
            <w:r w:rsidRPr="00D64D28">
              <w:rPr>
                <w:rStyle w:val="VerbatimChar"/>
                <w:sz w:val="20"/>
                <w:szCs w:val="20"/>
              </w:rPr>
              <w:t>robvis</w:t>
            </w:r>
          </w:p>
        </w:tc>
      </w:tr>
      <w:tr w:rsidR="005713ED" w:rsidRPr="00D64D28" w14:paraId="7D2F1AB5" w14:textId="77777777" w:rsidTr="00470CD8">
        <w:tc>
          <w:tcPr>
            <w:tcW w:w="0" w:type="auto"/>
            <w:shd w:val="clear" w:color="auto" w:fill="D9D9D9" w:themeFill="background1" w:themeFillShade="D9"/>
            <w:vAlign w:val="center"/>
          </w:tcPr>
          <w:p w14:paraId="33700BF9" w14:textId="77777777" w:rsidR="005713ED" w:rsidRPr="00D64D28" w:rsidRDefault="005713ED" w:rsidP="00D64D28">
            <w:pPr>
              <w:pStyle w:val="Compact"/>
              <w:jc w:val="center"/>
              <w:rPr>
                <w:sz w:val="20"/>
                <w:szCs w:val="20"/>
              </w:rPr>
            </w:pPr>
            <w:r w:rsidRPr="00D64D28">
              <w:rPr>
                <w:sz w:val="20"/>
                <w:szCs w:val="20"/>
              </w:rPr>
              <w:t>tool</w:t>
            </w:r>
          </w:p>
        </w:tc>
        <w:tc>
          <w:tcPr>
            <w:tcW w:w="0" w:type="auto"/>
            <w:shd w:val="clear" w:color="auto" w:fill="D9D9D9" w:themeFill="background1" w:themeFillShade="D9"/>
            <w:vAlign w:val="center"/>
          </w:tcPr>
          <w:p w14:paraId="6C882F70" w14:textId="77777777" w:rsidR="005713ED" w:rsidRPr="00D64D28" w:rsidRDefault="005713ED" w:rsidP="00D64D28">
            <w:pPr>
              <w:pStyle w:val="Compact"/>
              <w:jc w:val="center"/>
              <w:rPr>
                <w:sz w:val="20"/>
                <w:szCs w:val="20"/>
              </w:rPr>
            </w:pPr>
            <w:r w:rsidRPr="00D64D28">
              <w:rPr>
                <w:sz w:val="20"/>
                <w:szCs w:val="20"/>
              </w:rPr>
              <w:t>X</w:t>
            </w:r>
          </w:p>
        </w:tc>
        <w:tc>
          <w:tcPr>
            <w:tcW w:w="0" w:type="auto"/>
            <w:shd w:val="clear" w:color="auto" w:fill="D9D9D9" w:themeFill="background1" w:themeFillShade="D9"/>
            <w:vAlign w:val="center"/>
          </w:tcPr>
          <w:p w14:paraId="3F90CFAD" w14:textId="77777777" w:rsidR="005713ED" w:rsidRPr="00D64D28" w:rsidRDefault="005713ED" w:rsidP="00D64D28">
            <w:pPr>
              <w:pStyle w:val="Compact"/>
              <w:jc w:val="center"/>
              <w:rPr>
                <w:sz w:val="20"/>
                <w:szCs w:val="20"/>
              </w:rPr>
            </w:pPr>
            <w:r w:rsidRPr="00D64D28">
              <w:rPr>
                <w:sz w:val="20"/>
                <w:szCs w:val="20"/>
              </w:rPr>
              <w:t>X</w:t>
            </w:r>
          </w:p>
        </w:tc>
        <w:tc>
          <w:tcPr>
            <w:tcW w:w="0" w:type="auto"/>
            <w:shd w:val="clear" w:color="auto" w:fill="D9D9D9" w:themeFill="background1" w:themeFillShade="D9"/>
          </w:tcPr>
          <w:p w14:paraId="317C0095" w14:textId="431F93C9" w:rsidR="005713ED" w:rsidRPr="00D64D28" w:rsidRDefault="005713ED" w:rsidP="00F26305">
            <w:pPr>
              <w:pStyle w:val="Compact"/>
              <w:rPr>
                <w:sz w:val="20"/>
                <w:szCs w:val="20"/>
              </w:rPr>
            </w:pPr>
            <w:r w:rsidRPr="00D64D28">
              <w:rPr>
                <w:sz w:val="20"/>
                <w:szCs w:val="20"/>
              </w:rPr>
              <w:t xml:space="preserve">Defines the </w:t>
            </w:r>
            <w:r w:rsidR="00243967" w:rsidRPr="00D64D28">
              <w:rPr>
                <w:sz w:val="20"/>
                <w:szCs w:val="20"/>
              </w:rPr>
              <w:t>risk-of-bias</w:t>
            </w:r>
            <w:r w:rsidRPr="00D64D28">
              <w:rPr>
                <w:sz w:val="20"/>
                <w:szCs w:val="20"/>
              </w:rPr>
              <w:t xml:space="preserve"> assessment tool used. The RoB2 (</w:t>
            </w:r>
            <w:r w:rsidRPr="00D64D28">
              <w:rPr>
                <w:rStyle w:val="VerbatimChar"/>
                <w:sz w:val="20"/>
                <w:szCs w:val="20"/>
              </w:rPr>
              <w:t>tool='ROB2'</w:t>
            </w:r>
            <w:r w:rsidRPr="00D64D28">
              <w:rPr>
                <w:sz w:val="20"/>
                <w:szCs w:val="20"/>
              </w:rPr>
              <w:t>), ROBINS-I (</w:t>
            </w:r>
            <w:r w:rsidRPr="00D64D28">
              <w:rPr>
                <w:rStyle w:val="VerbatimChar"/>
                <w:sz w:val="20"/>
                <w:szCs w:val="20"/>
              </w:rPr>
              <w:t>tool='ROBINS-I'</w:t>
            </w:r>
            <w:r w:rsidRPr="00D64D28">
              <w:rPr>
                <w:sz w:val="20"/>
                <w:szCs w:val="20"/>
              </w:rPr>
              <w:t>), and QUADAS-2 (</w:t>
            </w:r>
            <w:r w:rsidRPr="00D64D28">
              <w:rPr>
                <w:rStyle w:val="VerbatimChar"/>
                <w:sz w:val="20"/>
                <w:szCs w:val="20"/>
              </w:rPr>
              <w:t>tool='QUADAS-2'</w:t>
            </w:r>
            <w:r w:rsidRPr="00D64D28">
              <w:rPr>
                <w:sz w:val="20"/>
                <w:szCs w:val="20"/>
              </w:rPr>
              <w:t xml:space="preserve">) assessments tools are currently supported. Other tools can be </w:t>
            </w:r>
            <w:r w:rsidR="00581291" w:rsidRPr="00D64D28">
              <w:rPr>
                <w:sz w:val="20"/>
                <w:szCs w:val="20"/>
              </w:rPr>
              <w:t>visualized</w:t>
            </w:r>
            <w:r w:rsidRPr="00D64D28">
              <w:rPr>
                <w:sz w:val="20"/>
                <w:szCs w:val="20"/>
              </w:rPr>
              <w:t xml:space="preserve"> using the generic template (</w:t>
            </w:r>
            <w:r w:rsidRPr="00D64D28">
              <w:rPr>
                <w:rStyle w:val="VerbatimChar"/>
                <w:sz w:val="20"/>
                <w:szCs w:val="20"/>
              </w:rPr>
              <w:t>tool = 'ROB1'</w:t>
            </w:r>
            <w:r w:rsidRPr="00D64D28">
              <w:rPr>
                <w:sz w:val="20"/>
                <w:szCs w:val="20"/>
              </w:rPr>
              <w:t>)</w:t>
            </w:r>
          </w:p>
        </w:tc>
      </w:tr>
      <w:tr w:rsidR="005713ED" w:rsidRPr="00D64D28" w14:paraId="72FEC8D8" w14:textId="77777777" w:rsidTr="00D64D28">
        <w:tc>
          <w:tcPr>
            <w:tcW w:w="0" w:type="auto"/>
            <w:vAlign w:val="center"/>
          </w:tcPr>
          <w:p w14:paraId="13209601" w14:textId="77777777" w:rsidR="005713ED" w:rsidRPr="00D64D28" w:rsidRDefault="005713ED" w:rsidP="00D64D28">
            <w:pPr>
              <w:pStyle w:val="Compact"/>
              <w:jc w:val="center"/>
              <w:rPr>
                <w:sz w:val="20"/>
                <w:szCs w:val="20"/>
              </w:rPr>
            </w:pPr>
            <w:r w:rsidRPr="00D64D28">
              <w:rPr>
                <w:sz w:val="20"/>
                <w:szCs w:val="20"/>
              </w:rPr>
              <w:t>colour</w:t>
            </w:r>
          </w:p>
        </w:tc>
        <w:tc>
          <w:tcPr>
            <w:tcW w:w="0" w:type="auto"/>
            <w:vAlign w:val="center"/>
          </w:tcPr>
          <w:p w14:paraId="64276EC4" w14:textId="77777777" w:rsidR="005713ED" w:rsidRPr="00D64D28" w:rsidRDefault="005713ED" w:rsidP="00D64D28">
            <w:pPr>
              <w:pStyle w:val="Compact"/>
              <w:jc w:val="center"/>
              <w:rPr>
                <w:sz w:val="20"/>
                <w:szCs w:val="20"/>
              </w:rPr>
            </w:pPr>
            <w:r w:rsidRPr="00D64D28">
              <w:rPr>
                <w:sz w:val="20"/>
                <w:szCs w:val="20"/>
              </w:rPr>
              <w:t>X</w:t>
            </w:r>
          </w:p>
        </w:tc>
        <w:tc>
          <w:tcPr>
            <w:tcW w:w="0" w:type="auto"/>
            <w:vAlign w:val="center"/>
          </w:tcPr>
          <w:p w14:paraId="57D13D34" w14:textId="77777777" w:rsidR="005713ED" w:rsidRPr="00D64D28" w:rsidRDefault="005713ED" w:rsidP="00D64D28">
            <w:pPr>
              <w:pStyle w:val="Compact"/>
              <w:jc w:val="center"/>
              <w:rPr>
                <w:sz w:val="20"/>
                <w:szCs w:val="20"/>
              </w:rPr>
            </w:pPr>
            <w:r w:rsidRPr="00D64D28">
              <w:rPr>
                <w:sz w:val="20"/>
                <w:szCs w:val="20"/>
              </w:rPr>
              <w:t>X</w:t>
            </w:r>
          </w:p>
        </w:tc>
        <w:tc>
          <w:tcPr>
            <w:tcW w:w="0" w:type="auto"/>
          </w:tcPr>
          <w:p w14:paraId="1125D23B" w14:textId="77777777" w:rsidR="005713ED" w:rsidRPr="00D64D28" w:rsidRDefault="005713ED" w:rsidP="00F26305">
            <w:pPr>
              <w:pStyle w:val="Compact"/>
              <w:rPr>
                <w:sz w:val="20"/>
                <w:szCs w:val="20"/>
              </w:rPr>
            </w:pPr>
            <w:r w:rsidRPr="00D64D28">
              <w:rPr>
                <w:sz w:val="20"/>
                <w:szCs w:val="20"/>
              </w:rPr>
              <w:t xml:space="preserve">Defines the colour scheme for the plot. The default is </w:t>
            </w:r>
            <w:r w:rsidRPr="00D64D28">
              <w:rPr>
                <w:rStyle w:val="VerbatimChar"/>
                <w:sz w:val="20"/>
                <w:szCs w:val="20"/>
              </w:rPr>
              <w:t>colour = 'cochrane'</w:t>
            </w:r>
            <w:r w:rsidRPr="00D64D28">
              <w:rPr>
                <w:sz w:val="20"/>
                <w:szCs w:val="20"/>
              </w:rPr>
              <w:t xml:space="preserve"> which uses the ubiquitous Cochrane colours, while a preset option for a colour-blind friendly palette is also available (</w:t>
            </w:r>
            <w:r w:rsidRPr="00D64D28">
              <w:rPr>
                <w:rStyle w:val="VerbatimChar"/>
                <w:sz w:val="20"/>
                <w:szCs w:val="20"/>
              </w:rPr>
              <w:t>colour = 'colourblind'</w:t>
            </w:r>
            <w:r w:rsidRPr="00D64D28">
              <w:rPr>
                <w:sz w:val="20"/>
                <w:szCs w:val="20"/>
              </w:rPr>
              <w:t>). Alternatively, users can specify their own colour scheme e.g. </w:t>
            </w:r>
            <w:r w:rsidRPr="00D64D28">
              <w:rPr>
                <w:rStyle w:val="VerbatimChar"/>
                <w:sz w:val="20"/>
                <w:szCs w:val="20"/>
              </w:rPr>
              <w:t>colour = c('#f442c8', '#bef441', '#000000')</w:t>
            </w:r>
          </w:p>
        </w:tc>
      </w:tr>
      <w:tr w:rsidR="005713ED" w:rsidRPr="00D64D28" w14:paraId="51FC68FA" w14:textId="77777777" w:rsidTr="00470CD8">
        <w:tc>
          <w:tcPr>
            <w:tcW w:w="0" w:type="auto"/>
            <w:shd w:val="clear" w:color="auto" w:fill="D9D9D9" w:themeFill="background1" w:themeFillShade="D9"/>
            <w:vAlign w:val="center"/>
          </w:tcPr>
          <w:p w14:paraId="336BF524" w14:textId="77777777" w:rsidR="005713ED" w:rsidRPr="00D64D28" w:rsidRDefault="005713ED" w:rsidP="00D64D28">
            <w:pPr>
              <w:pStyle w:val="Compact"/>
              <w:jc w:val="center"/>
              <w:rPr>
                <w:sz w:val="20"/>
                <w:szCs w:val="20"/>
              </w:rPr>
            </w:pPr>
            <w:r w:rsidRPr="00D64D28">
              <w:rPr>
                <w:sz w:val="20"/>
                <w:szCs w:val="20"/>
              </w:rPr>
              <w:t>overall</w:t>
            </w:r>
          </w:p>
        </w:tc>
        <w:tc>
          <w:tcPr>
            <w:tcW w:w="0" w:type="auto"/>
            <w:shd w:val="clear" w:color="auto" w:fill="D9D9D9" w:themeFill="background1" w:themeFillShade="D9"/>
            <w:vAlign w:val="center"/>
          </w:tcPr>
          <w:p w14:paraId="4FA8247E" w14:textId="77777777" w:rsidR="005713ED" w:rsidRPr="00D64D28" w:rsidRDefault="005713ED" w:rsidP="00D64D28">
            <w:pPr>
              <w:pStyle w:val="Compact"/>
              <w:jc w:val="center"/>
              <w:rPr>
                <w:sz w:val="20"/>
                <w:szCs w:val="20"/>
              </w:rPr>
            </w:pPr>
            <w:r w:rsidRPr="00D64D28">
              <w:rPr>
                <w:sz w:val="20"/>
                <w:szCs w:val="20"/>
              </w:rPr>
              <w:t>X</w:t>
            </w:r>
          </w:p>
        </w:tc>
        <w:tc>
          <w:tcPr>
            <w:tcW w:w="0" w:type="auto"/>
            <w:shd w:val="clear" w:color="auto" w:fill="D9D9D9" w:themeFill="background1" w:themeFillShade="D9"/>
            <w:vAlign w:val="center"/>
          </w:tcPr>
          <w:p w14:paraId="008CDB61" w14:textId="77777777" w:rsidR="005713ED" w:rsidRPr="00D64D28" w:rsidRDefault="005713ED" w:rsidP="00D64D28">
            <w:pPr>
              <w:jc w:val="center"/>
              <w:rPr>
                <w:sz w:val="20"/>
                <w:szCs w:val="20"/>
              </w:rPr>
            </w:pPr>
          </w:p>
        </w:tc>
        <w:tc>
          <w:tcPr>
            <w:tcW w:w="0" w:type="auto"/>
            <w:shd w:val="clear" w:color="auto" w:fill="D9D9D9" w:themeFill="background1" w:themeFillShade="D9"/>
          </w:tcPr>
          <w:p w14:paraId="36C8D767" w14:textId="09C05A0C" w:rsidR="005713ED" w:rsidRPr="00D64D28" w:rsidRDefault="005713ED" w:rsidP="00F26305">
            <w:pPr>
              <w:pStyle w:val="Compact"/>
              <w:rPr>
                <w:sz w:val="20"/>
                <w:szCs w:val="20"/>
              </w:rPr>
            </w:pPr>
            <w:r w:rsidRPr="00D64D28">
              <w:rPr>
                <w:sz w:val="20"/>
                <w:szCs w:val="20"/>
              </w:rPr>
              <w:t xml:space="preserve">Defines whether to include an additional bar showing the </w:t>
            </w:r>
            <w:r w:rsidR="00581291" w:rsidRPr="00D64D28">
              <w:rPr>
                <w:sz w:val="20"/>
                <w:szCs w:val="20"/>
              </w:rPr>
              <w:t>distribution</w:t>
            </w:r>
            <w:r w:rsidRPr="00D64D28">
              <w:rPr>
                <w:sz w:val="20"/>
                <w:szCs w:val="20"/>
              </w:rPr>
              <w:t xml:space="preserve"> of overall </w:t>
            </w:r>
            <w:r w:rsidR="00243967" w:rsidRPr="00D64D28">
              <w:rPr>
                <w:sz w:val="20"/>
                <w:szCs w:val="20"/>
              </w:rPr>
              <w:t>risk-of-bias</w:t>
            </w:r>
            <w:r w:rsidRPr="00D64D28">
              <w:rPr>
                <w:sz w:val="20"/>
                <w:szCs w:val="20"/>
              </w:rPr>
              <w:t xml:space="preserve"> judgements in the summary </w:t>
            </w:r>
            <w:r w:rsidR="00581291" w:rsidRPr="00D64D28">
              <w:rPr>
                <w:sz w:val="20"/>
                <w:szCs w:val="20"/>
              </w:rPr>
              <w:t>bar plot</w:t>
            </w:r>
            <w:r w:rsidRPr="00D64D28">
              <w:rPr>
                <w:sz w:val="20"/>
                <w:szCs w:val="20"/>
              </w:rPr>
              <w:t xml:space="preserve"> figure. Default is </w:t>
            </w:r>
            <w:r w:rsidRPr="00D64D28">
              <w:rPr>
                <w:rStyle w:val="VerbatimChar"/>
                <w:sz w:val="20"/>
                <w:szCs w:val="20"/>
              </w:rPr>
              <w:t>overall = FALSE</w:t>
            </w:r>
            <w:r w:rsidRPr="00D64D28">
              <w:rPr>
                <w:sz w:val="20"/>
                <w:szCs w:val="20"/>
              </w:rPr>
              <w:t>.</w:t>
            </w:r>
          </w:p>
        </w:tc>
      </w:tr>
      <w:tr w:rsidR="005713ED" w:rsidRPr="00D64D28" w14:paraId="4BCC6CAB" w14:textId="77777777" w:rsidTr="00D64D28">
        <w:tc>
          <w:tcPr>
            <w:tcW w:w="0" w:type="auto"/>
            <w:vAlign w:val="center"/>
          </w:tcPr>
          <w:p w14:paraId="5B542CF7" w14:textId="77777777" w:rsidR="005713ED" w:rsidRPr="00D64D28" w:rsidRDefault="005713ED" w:rsidP="00D64D28">
            <w:pPr>
              <w:pStyle w:val="Compact"/>
              <w:jc w:val="center"/>
              <w:rPr>
                <w:sz w:val="20"/>
                <w:szCs w:val="20"/>
              </w:rPr>
            </w:pPr>
            <w:r w:rsidRPr="00D64D28">
              <w:rPr>
                <w:sz w:val="20"/>
                <w:szCs w:val="20"/>
              </w:rPr>
              <w:t>weighted</w:t>
            </w:r>
          </w:p>
        </w:tc>
        <w:tc>
          <w:tcPr>
            <w:tcW w:w="0" w:type="auto"/>
            <w:vAlign w:val="center"/>
          </w:tcPr>
          <w:p w14:paraId="474DDA05" w14:textId="77777777" w:rsidR="005713ED" w:rsidRPr="00D64D28" w:rsidRDefault="005713ED" w:rsidP="00D64D28">
            <w:pPr>
              <w:pStyle w:val="Compact"/>
              <w:jc w:val="center"/>
              <w:rPr>
                <w:sz w:val="20"/>
                <w:szCs w:val="20"/>
              </w:rPr>
            </w:pPr>
            <w:r w:rsidRPr="00D64D28">
              <w:rPr>
                <w:sz w:val="20"/>
                <w:szCs w:val="20"/>
              </w:rPr>
              <w:t>X</w:t>
            </w:r>
          </w:p>
        </w:tc>
        <w:tc>
          <w:tcPr>
            <w:tcW w:w="0" w:type="auto"/>
            <w:vAlign w:val="center"/>
          </w:tcPr>
          <w:p w14:paraId="10B1C6F0" w14:textId="77777777" w:rsidR="005713ED" w:rsidRPr="00D64D28" w:rsidRDefault="005713ED" w:rsidP="00D64D28">
            <w:pPr>
              <w:jc w:val="center"/>
              <w:rPr>
                <w:sz w:val="20"/>
                <w:szCs w:val="20"/>
              </w:rPr>
            </w:pPr>
          </w:p>
        </w:tc>
        <w:tc>
          <w:tcPr>
            <w:tcW w:w="0" w:type="auto"/>
          </w:tcPr>
          <w:p w14:paraId="0F29A5DB" w14:textId="66BE0E2C" w:rsidR="005713ED" w:rsidRPr="00D64D28" w:rsidRDefault="005713ED" w:rsidP="00F26305">
            <w:pPr>
              <w:pStyle w:val="Compact"/>
              <w:rPr>
                <w:sz w:val="20"/>
                <w:szCs w:val="20"/>
              </w:rPr>
            </w:pPr>
            <w:r w:rsidRPr="00D64D28">
              <w:rPr>
                <w:sz w:val="20"/>
                <w:szCs w:val="20"/>
              </w:rPr>
              <w:t xml:space="preserve">Defines whether weights should be used to produce the summary </w:t>
            </w:r>
            <w:r w:rsidR="00581291" w:rsidRPr="00D64D28">
              <w:rPr>
                <w:sz w:val="20"/>
                <w:szCs w:val="20"/>
              </w:rPr>
              <w:t>bar plot</w:t>
            </w:r>
            <w:r w:rsidRPr="00D64D28">
              <w:rPr>
                <w:sz w:val="20"/>
                <w:szCs w:val="20"/>
              </w:rPr>
              <w:t xml:space="preserve"> figure. Default is </w:t>
            </w:r>
            <w:r w:rsidRPr="00D64D28">
              <w:rPr>
                <w:rStyle w:val="VerbatimChar"/>
                <w:sz w:val="20"/>
                <w:szCs w:val="20"/>
              </w:rPr>
              <w:t>weighted = TRUE</w:t>
            </w:r>
            <w:r w:rsidRPr="00D64D28">
              <w:rPr>
                <w:sz w:val="20"/>
                <w:szCs w:val="20"/>
              </w:rPr>
              <w:t>, in line with current Cochrane Collaboration guidance.</w:t>
            </w:r>
          </w:p>
        </w:tc>
      </w:tr>
      <w:tr w:rsidR="005713ED" w:rsidRPr="00D64D28" w14:paraId="59832C08" w14:textId="77777777" w:rsidTr="00470CD8">
        <w:tc>
          <w:tcPr>
            <w:tcW w:w="0" w:type="auto"/>
            <w:shd w:val="clear" w:color="auto" w:fill="D9D9D9" w:themeFill="background1" w:themeFillShade="D9"/>
            <w:vAlign w:val="center"/>
          </w:tcPr>
          <w:p w14:paraId="7C71B91B" w14:textId="77777777" w:rsidR="005713ED" w:rsidRPr="00D64D28" w:rsidRDefault="005713ED" w:rsidP="00D64D28">
            <w:pPr>
              <w:pStyle w:val="Compact"/>
              <w:jc w:val="center"/>
              <w:rPr>
                <w:sz w:val="20"/>
                <w:szCs w:val="20"/>
              </w:rPr>
            </w:pPr>
            <w:r w:rsidRPr="00D64D28">
              <w:rPr>
                <w:sz w:val="20"/>
                <w:szCs w:val="20"/>
              </w:rPr>
              <w:t>psize</w:t>
            </w:r>
          </w:p>
        </w:tc>
        <w:tc>
          <w:tcPr>
            <w:tcW w:w="0" w:type="auto"/>
            <w:shd w:val="clear" w:color="auto" w:fill="D9D9D9" w:themeFill="background1" w:themeFillShade="D9"/>
            <w:vAlign w:val="center"/>
          </w:tcPr>
          <w:p w14:paraId="31D72A9C" w14:textId="77777777" w:rsidR="005713ED" w:rsidRPr="00D64D28" w:rsidRDefault="005713ED" w:rsidP="00D64D28">
            <w:pPr>
              <w:jc w:val="center"/>
              <w:rPr>
                <w:sz w:val="20"/>
                <w:szCs w:val="20"/>
              </w:rPr>
            </w:pPr>
          </w:p>
        </w:tc>
        <w:tc>
          <w:tcPr>
            <w:tcW w:w="0" w:type="auto"/>
            <w:shd w:val="clear" w:color="auto" w:fill="D9D9D9" w:themeFill="background1" w:themeFillShade="D9"/>
            <w:vAlign w:val="center"/>
          </w:tcPr>
          <w:p w14:paraId="268A686F" w14:textId="77777777" w:rsidR="005713ED" w:rsidRPr="00D64D28" w:rsidRDefault="005713ED" w:rsidP="00D64D28">
            <w:pPr>
              <w:pStyle w:val="Compact"/>
              <w:jc w:val="center"/>
              <w:rPr>
                <w:sz w:val="20"/>
                <w:szCs w:val="20"/>
              </w:rPr>
            </w:pPr>
            <w:r w:rsidRPr="00D64D28">
              <w:rPr>
                <w:sz w:val="20"/>
                <w:szCs w:val="20"/>
              </w:rPr>
              <w:t>X</w:t>
            </w:r>
          </w:p>
        </w:tc>
        <w:tc>
          <w:tcPr>
            <w:tcW w:w="0" w:type="auto"/>
            <w:shd w:val="clear" w:color="auto" w:fill="D9D9D9" w:themeFill="background1" w:themeFillShade="D9"/>
          </w:tcPr>
          <w:p w14:paraId="26D521EC" w14:textId="77777777" w:rsidR="005713ED" w:rsidRPr="00D64D28" w:rsidRDefault="005713ED" w:rsidP="00F26305">
            <w:pPr>
              <w:pStyle w:val="Compact"/>
              <w:rPr>
                <w:sz w:val="20"/>
                <w:szCs w:val="20"/>
              </w:rPr>
            </w:pPr>
            <w:r w:rsidRPr="00D64D28">
              <w:rPr>
                <w:sz w:val="20"/>
                <w:szCs w:val="20"/>
              </w:rPr>
              <w:t xml:space="preserve">Defines the size of the points in the traffic light plot. Default is </w:t>
            </w:r>
            <w:r w:rsidRPr="00D64D28">
              <w:rPr>
                <w:rStyle w:val="VerbatimChar"/>
                <w:sz w:val="20"/>
                <w:szCs w:val="20"/>
              </w:rPr>
              <w:t>psize = 20</w:t>
            </w:r>
            <w:r w:rsidRPr="00D64D28">
              <w:rPr>
                <w:sz w:val="20"/>
                <w:szCs w:val="20"/>
              </w:rPr>
              <w:t>.</w:t>
            </w:r>
          </w:p>
        </w:tc>
      </w:tr>
    </w:tbl>
    <w:p w14:paraId="183D0BD2" w14:textId="77777777" w:rsidR="005713ED" w:rsidRDefault="005713ED" w:rsidP="005713ED">
      <w:bookmarkStart w:id="23" w:name="section-5"/>
      <w:bookmarkEnd w:id="23"/>
    </w:p>
    <w:p w14:paraId="78FB33C1" w14:textId="77777777" w:rsidR="005713ED" w:rsidRDefault="005713ED" w:rsidP="005713ED">
      <w:r>
        <w:br w:type="page"/>
      </w:r>
    </w:p>
    <w:p w14:paraId="57FD635B" w14:textId="77777777" w:rsidR="005713ED" w:rsidRDefault="005713ED" w:rsidP="005713ED">
      <w:r>
        <w:rPr>
          <w:noProof/>
        </w:rPr>
        <w:lastRenderedPageBreak/>
        <w:drawing>
          <wp:inline distT="0" distB="0" distL="0" distR="0" wp14:anchorId="2A4D1291" wp14:editId="69CE0A5B">
            <wp:extent cx="5943600" cy="1790509"/>
            <wp:effectExtent l="0" t="0" r="0" b="0"/>
            <wp:docPr id="1" name="Picture" descr="Figure 1: Example risk of bias summary plot created using robvis"/>
            <wp:cNvGraphicFramePr/>
            <a:graphic xmlns:a="http://schemas.openxmlformats.org/drawingml/2006/main">
              <a:graphicData uri="http://schemas.openxmlformats.org/drawingml/2006/picture">
                <pic:pic xmlns:pic="http://schemas.openxmlformats.org/drawingml/2006/picture">
                  <pic:nvPicPr>
                    <pic:cNvPr id="0" name="Picture" descr="figs/robsummplot.png"/>
                    <pic:cNvPicPr>
                      <a:picLocks noChangeAspect="1" noChangeArrowheads="1"/>
                    </pic:cNvPicPr>
                  </pic:nvPicPr>
                  <pic:blipFill>
                    <a:blip r:embed="rId11"/>
                    <a:stretch>
                      <a:fillRect/>
                    </a:stretch>
                  </pic:blipFill>
                  <pic:spPr bwMode="auto">
                    <a:xfrm>
                      <a:off x="0" y="0"/>
                      <a:ext cx="5943600" cy="1790509"/>
                    </a:xfrm>
                    <a:prstGeom prst="rect">
                      <a:avLst/>
                    </a:prstGeom>
                    <a:noFill/>
                    <a:ln w="9525">
                      <a:noFill/>
                      <a:headEnd/>
                      <a:tailEnd/>
                    </a:ln>
                  </pic:spPr>
                </pic:pic>
              </a:graphicData>
            </a:graphic>
          </wp:inline>
        </w:drawing>
      </w:r>
    </w:p>
    <w:p w14:paraId="2ED977CC" w14:textId="1356E904" w:rsidR="005713ED" w:rsidRDefault="005713ED" w:rsidP="005713ED">
      <w:pPr>
        <w:pStyle w:val="ImageCaption"/>
        <w:rPr>
          <w:rStyle w:val="VerbatimChar"/>
        </w:rPr>
      </w:pPr>
      <w:r>
        <w:t>Figure 1: Example</w:t>
      </w:r>
      <w:r w:rsidR="00243967">
        <w:t xml:space="preserve"> ROB2</w:t>
      </w:r>
      <w:r>
        <w:t xml:space="preserve"> </w:t>
      </w:r>
      <w:r w:rsidR="00243967">
        <w:t>risk-of-bias</w:t>
      </w:r>
      <w:r>
        <w:t xml:space="preserve"> summary plot created using </w:t>
      </w:r>
      <w:r>
        <w:rPr>
          <w:rStyle w:val="VerbatimChar"/>
        </w:rPr>
        <w:t>robvis</w:t>
      </w:r>
      <w:bookmarkStart w:id="24" w:name="section-6"/>
      <w:bookmarkEnd w:id="24"/>
    </w:p>
    <w:p w14:paraId="67D58980" w14:textId="77777777" w:rsidR="005713ED" w:rsidRDefault="005713ED" w:rsidP="005713ED">
      <w:pPr>
        <w:rPr>
          <w:rStyle w:val="VerbatimChar"/>
          <w:i/>
        </w:rPr>
      </w:pPr>
      <w:r>
        <w:rPr>
          <w:rStyle w:val="VerbatimChar"/>
        </w:rPr>
        <w:br w:type="page"/>
      </w:r>
    </w:p>
    <w:p w14:paraId="0608DCC7" w14:textId="77777777" w:rsidR="005713ED" w:rsidRDefault="005713ED" w:rsidP="005713ED">
      <w:pPr>
        <w:pStyle w:val="ImageCaption"/>
      </w:pPr>
      <w:r>
        <w:rPr>
          <w:noProof/>
        </w:rPr>
        <w:lastRenderedPageBreak/>
        <w:drawing>
          <wp:inline distT="0" distB="0" distL="0" distR="0" wp14:anchorId="2070426A" wp14:editId="0DB0B1EE">
            <wp:extent cx="5943600" cy="6792685"/>
            <wp:effectExtent l="0" t="0" r="0" b="0"/>
            <wp:docPr id="2" name="Picture" descr="Figure 2: Example risk of bias traffic light plot created using robvis"/>
            <wp:cNvGraphicFramePr/>
            <a:graphic xmlns:a="http://schemas.openxmlformats.org/drawingml/2006/main">
              <a:graphicData uri="http://schemas.openxmlformats.org/drawingml/2006/picture">
                <pic:pic xmlns:pic="http://schemas.openxmlformats.org/drawingml/2006/picture">
                  <pic:nvPicPr>
                    <pic:cNvPr id="0" name="Picture" descr="figs/robtfplot.png"/>
                    <pic:cNvPicPr>
                      <a:picLocks noChangeAspect="1" noChangeArrowheads="1"/>
                    </pic:cNvPicPr>
                  </pic:nvPicPr>
                  <pic:blipFill>
                    <a:blip r:embed="rId12"/>
                    <a:stretch>
                      <a:fillRect/>
                    </a:stretch>
                  </pic:blipFill>
                  <pic:spPr bwMode="auto">
                    <a:xfrm>
                      <a:off x="0" y="0"/>
                      <a:ext cx="5943600" cy="6792685"/>
                    </a:xfrm>
                    <a:prstGeom prst="rect">
                      <a:avLst/>
                    </a:prstGeom>
                    <a:noFill/>
                    <a:ln w="9525">
                      <a:noFill/>
                      <a:headEnd/>
                      <a:tailEnd/>
                    </a:ln>
                  </pic:spPr>
                </pic:pic>
              </a:graphicData>
            </a:graphic>
          </wp:inline>
        </w:drawing>
      </w:r>
    </w:p>
    <w:p w14:paraId="1D0A79A3" w14:textId="49E86A25" w:rsidR="005713ED" w:rsidRDefault="005713ED" w:rsidP="005713ED">
      <w:pPr>
        <w:pStyle w:val="ImageCaption"/>
      </w:pPr>
      <w:r>
        <w:t xml:space="preserve">Figure 2: Example </w:t>
      </w:r>
      <w:r w:rsidR="00243967">
        <w:t>ROB2 risk-of-bias</w:t>
      </w:r>
      <w:r>
        <w:t xml:space="preserve"> traffic light plot created using</w:t>
      </w:r>
      <w:r w:rsidR="00243967">
        <w:t xml:space="preserve"> the colourblind-friendly palette in</w:t>
      </w:r>
      <w:r>
        <w:t xml:space="preserve"> </w:t>
      </w:r>
      <w:r>
        <w:rPr>
          <w:rStyle w:val="VerbatimChar"/>
        </w:rPr>
        <w:t>robvis</w:t>
      </w:r>
    </w:p>
    <w:p w14:paraId="35E936A9" w14:textId="77777777" w:rsidR="005713ED" w:rsidRDefault="005713ED" w:rsidP="005713ED">
      <w:pPr>
        <w:rPr>
          <w:rFonts w:asciiTheme="majorHAnsi" w:eastAsiaTheme="majorEastAsia" w:hAnsiTheme="majorHAnsi" w:cstheme="majorBidi"/>
          <w:b/>
          <w:bCs/>
          <w:sz w:val="32"/>
          <w:szCs w:val="32"/>
        </w:rPr>
      </w:pPr>
      <w:bookmarkStart w:id="25" w:name="section-7"/>
      <w:bookmarkStart w:id="26" w:name="bibliography"/>
      <w:bookmarkEnd w:id="25"/>
      <w:r>
        <w:br w:type="page"/>
      </w:r>
    </w:p>
    <w:p w14:paraId="4EE2C012" w14:textId="77777777" w:rsidR="005713ED" w:rsidRDefault="005713ED" w:rsidP="005713ED">
      <w:pPr>
        <w:pStyle w:val="Heading1"/>
      </w:pPr>
      <w:r>
        <w:lastRenderedPageBreak/>
        <w:t>Bibliography</w:t>
      </w:r>
      <w:bookmarkEnd w:id="26"/>
    </w:p>
    <w:p w14:paraId="6BEF41BC" w14:textId="77777777" w:rsidR="005713ED" w:rsidRDefault="005713ED" w:rsidP="005713ED">
      <w:pPr>
        <w:pStyle w:val="Bibliography"/>
      </w:pPr>
      <w:bookmarkStart w:id="27" w:name="ref-donnelly2018four"/>
      <w:bookmarkStart w:id="28" w:name="refs"/>
      <w:r>
        <w:t xml:space="preserve">1. Donnelly, C. A. </w:t>
      </w:r>
      <w:r>
        <w:rPr>
          <w:i/>
        </w:rPr>
        <w:t>et al.</w:t>
      </w:r>
      <w:r>
        <w:t xml:space="preserve"> Four principles to make evidence synthesis more useful for policy. (2018).</w:t>
      </w:r>
    </w:p>
    <w:p w14:paraId="54B9C946" w14:textId="77777777" w:rsidR="005713ED" w:rsidRDefault="005713ED" w:rsidP="005713ED">
      <w:pPr>
        <w:pStyle w:val="Bibliography"/>
      </w:pPr>
      <w:bookmarkStart w:id="29" w:name="ref-higgins2008assessing"/>
      <w:bookmarkEnd w:id="27"/>
      <w:r>
        <w:t xml:space="preserve">2. Higgins, J. P. &amp; Altman, D. G. Assessing risk of bias in included studies. </w:t>
      </w:r>
      <w:r>
        <w:rPr>
          <w:i/>
        </w:rPr>
        <w:t>Cochrane handbook for systematic reviews of interventions: Cochrane book series</w:t>
      </w:r>
      <w:r>
        <w:t xml:space="preserve"> 187–241 (2008).</w:t>
      </w:r>
    </w:p>
    <w:p w14:paraId="766B658F" w14:textId="77777777" w:rsidR="005713ED" w:rsidRDefault="005713ED" w:rsidP="005713ED">
      <w:pPr>
        <w:pStyle w:val="Bibliography"/>
      </w:pPr>
      <w:bookmarkStart w:id="30" w:name="ref-sterne2016robins"/>
      <w:bookmarkEnd w:id="29"/>
      <w:r>
        <w:t xml:space="preserve">3. Sterne, J. A. </w:t>
      </w:r>
      <w:r>
        <w:rPr>
          <w:i/>
        </w:rPr>
        <w:t>et al.</w:t>
      </w:r>
      <w:r>
        <w:t xml:space="preserve"> ROBINS-I: A tool for assessing risk of bias in non-randomised studies of interventions. </w:t>
      </w:r>
      <w:r>
        <w:rPr>
          <w:i/>
        </w:rPr>
        <w:t>BMJ</w:t>
      </w:r>
      <w:r>
        <w:t xml:space="preserve"> </w:t>
      </w:r>
      <w:r>
        <w:rPr>
          <w:b/>
        </w:rPr>
        <w:t>355</w:t>
      </w:r>
      <w:r>
        <w:t>, i4919 (2016).</w:t>
      </w:r>
    </w:p>
    <w:p w14:paraId="112404B4" w14:textId="77777777" w:rsidR="005713ED" w:rsidRDefault="005713ED" w:rsidP="005713ED">
      <w:pPr>
        <w:pStyle w:val="Bibliography"/>
      </w:pPr>
      <w:bookmarkStart w:id="31" w:name="ref-sterne2019rob"/>
      <w:bookmarkEnd w:id="30"/>
      <w:r>
        <w:t xml:space="preserve">4. Sterne, J. A. </w:t>
      </w:r>
      <w:r>
        <w:rPr>
          <w:i/>
        </w:rPr>
        <w:t>et al.</w:t>
      </w:r>
      <w:r>
        <w:t xml:space="preserve"> RoB 2: A revised tool for assessing risk of bias in randomised trials. </w:t>
      </w:r>
      <w:r>
        <w:rPr>
          <w:i/>
        </w:rPr>
        <w:t>BMJ</w:t>
      </w:r>
      <w:r>
        <w:t xml:space="preserve"> </w:t>
      </w:r>
      <w:r>
        <w:rPr>
          <w:b/>
        </w:rPr>
        <w:t>366</w:t>
      </w:r>
      <w:r>
        <w:t>, (2019).</w:t>
      </w:r>
    </w:p>
    <w:p w14:paraId="2DD53AA5" w14:textId="77777777" w:rsidR="005713ED" w:rsidRDefault="005713ED" w:rsidP="005713ED">
      <w:pPr>
        <w:pStyle w:val="Bibliography"/>
      </w:pPr>
      <w:bookmarkStart w:id="32" w:name="ref-whiting2011quadas"/>
      <w:bookmarkEnd w:id="31"/>
      <w:r>
        <w:t xml:space="preserve">5. Whiting, P. F. </w:t>
      </w:r>
      <w:r>
        <w:rPr>
          <w:i/>
        </w:rPr>
        <w:t>et al.</w:t>
      </w:r>
      <w:r>
        <w:t xml:space="preserve"> QUADAS-2: A revised tool for the quality assessment of diagnostic accuracy studies. </w:t>
      </w:r>
      <w:r>
        <w:rPr>
          <w:i/>
        </w:rPr>
        <w:t>Annals of Internal Medicine</w:t>
      </w:r>
      <w:r>
        <w:t xml:space="preserve"> </w:t>
      </w:r>
      <w:r>
        <w:rPr>
          <w:b/>
        </w:rPr>
        <w:t>155</w:t>
      </w:r>
      <w:r>
        <w:t>, 529–536 (2011).</w:t>
      </w:r>
    </w:p>
    <w:p w14:paraId="683789D4" w14:textId="77777777" w:rsidR="005713ED" w:rsidRDefault="005713ED" w:rsidP="005713ED">
      <w:pPr>
        <w:pStyle w:val="Bibliography"/>
      </w:pPr>
      <w:bookmarkStart w:id="33" w:name="ref-whiting2016robis"/>
      <w:bookmarkEnd w:id="32"/>
      <w:r>
        <w:t xml:space="preserve">6. Whiting, P. </w:t>
      </w:r>
      <w:r>
        <w:rPr>
          <w:i/>
        </w:rPr>
        <w:t>et al.</w:t>
      </w:r>
      <w:r>
        <w:t xml:space="preserve"> ROBIS: A new tool to assess risk of bias in systematic reviews was developed. </w:t>
      </w:r>
      <w:r>
        <w:rPr>
          <w:i/>
        </w:rPr>
        <w:t>Journal of Clinical Epidemiology</w:t>
      </w:r>
      <w:r>
        <w:t xml:space="preserve"> </w:t>
      </w:r>
      <w:r>
        <w:rPr>
          <w:b/>
        </w:rPr>
        <w:t>69</w:t>
      </w:r>
      <w:r>
        <w:t>, 225–234 (2016).</w:t>
      </w:r>
    </w:p>
    <w:p w14:paraId="35AF8B91" w14:textId="204179D9" w:rsidR="005713ED" w:rsidRDefault="005713ED" w:rsidP="005713ED">
      <w:pPr>
        <w:pStyle w:val="Bibliography"/>
      </w:pPr>
      <w:bookmarkStart w:id="34" w:name="ref-cochrane2014review"/>
      <w:bookmarkEnd w:id="33"/>
      <w:r>
        <w:t>7. Collaboration, C. &amp; others. Review manager (</w:t>
      </w:r>
      <w:r w:rsidR="00830D57">
        <w:t>RevMan</w:t>
      </w:r>
      <w:r>
        <w:t>)[computer program]. (2014).</w:t>
      </w:r>
    </w:p>
    <w:p w14:paraId="2A8A15B0" w14:textId="77777777" w:rsidR="005713ED" w:rsidRDefault="005713ED" w:rsidP="005713ED">
      <w:pPr>
        <w:pStyle w:val="Bibliography"/>
      </w:pPr>
      <w:bookmarkStart w:id="35" w:name="ref-marshall2015systematic"/>
      <w:bookmarkEnd w:id="34"/>
      <w:r>
        <w:t xml:space="preserve">8. Marshall, C. &amp; Brereton, P. Systematic review toolbox: A catalogue of tools to support systematic reviews. in </w:t>
      </w:r>
      <w:r>
        <w:rPr>
          <w:i/>
        </w:rPr>
        <w:t>Proceedings of the 19th international conference on evaluation and assessment in software engineering</w:t>
      </w:r>
      <w:r>
        <w:t xml:space="preserve"> 1–6 (2015).</w:t>
      </w:r>
    </w:p>
    <w:p w14:paraId="0E6EDCE1" w14:textId="77777777" w:rsidR="005713ED" w:rsidRDefault="005713ED" w:rsidP="005713ED">
      <w:pPr>
        <w:pStyle w:val="Bibliography"/>
      </w:pPr>
      <w:bookmarkStart w:id="36" w:name="ref-harrison2020software"/>
      <w:bookmarkEnd w:id="35"/>
      <w:r>
        <w:t xml:space="preserve">9. Harrison, H., Griffin, S. J., Kuhn, I. &amp; Usher-Smith, J. A. Software tools to support title and abstract screening for systematic reviews in healthcare: An evaluation. </w:t>
      </w:r>
      <w:r>
        <w:rPr>
          <w:i/>
        </w:rPr>
        <w:t>BMC Medical Research Methodology</w:t>
      </w:r>
      <w:r>
        <w:t xml:space="preserve"> </w:t>
      </w:r>
      <w:r>
        <w:rPr>
          <w:b/>
        </w:rPr>
        <w:t>20</w:t>
      </w:r>
      <w:r>
        <w:t>, 7 (2020).</w:t>
      </w:r>
    </w:p>
    <w:p w14:paraId="4E1C5258" w14:textId="77777777" w:rsidR="005713ED" w:rsidRDefault="005713ED" w:rsidP="005713ED">
      <w:pPr>
        <w:pStyle w:val="Bibliography"/>
      </w:pPr>
      <w:bookmarkStart w:id="37" w:name="ref-rref"/>
      <w:bookmarkEnd w:id="36"/>
      <w:r>
        <w:t xml:space="preserve">10. R Core Team. </w:t>
      </w:r>
      <w:r>
        <w:rPr>
          <w:i/>
        </w:rPr>
        <w:t>R: A language and environment for statistical computing</w:t>
      </w:r>
      <w:r>
        <w:t>. (R Foundation for Statistical Computing, 2019).</w:t>
      </w:r>
    </w:p>
    <w:p w14:paraId="2F8FD30F" w14:textId="77777777" w:rsidR="005713ED" w:rsidRDefault="005713ED" w:rsidP="005713ED">
      <w:pPr>
        <w:pStyle w:val="Bibliography"/>
      </w:pPr>
      <w:bookmarkStart w:id="38" w:name="ref-shinyref"/>
      <w:bookmarkEnd w:id="37"/>
      <w:r>
        <w:t xml:space="preserve">11. Chang, W., Cheng, J., Allaire, J., Xie, Y. &amp; McPherson, J. </w:t>
      </w:r>
      <w:r>
        <w:rPr>
          <w:i/>
        </w:rPr>
        <w:t>Shiny: Web application framework for R</w:t>
      </w:r>
      <w:r>
        <w:t>. (2019).</w:t>
      </w:r>
    </w:p>
    <w:p w14:paraId="3BA0BF2A" w14:textId="77777777" w:rsidR="005713ED" w:rsidRDefault="005713ED" w:rsidP="005713ED">
      <w:pPr>
        <w:pStyle w:val="Bibliography"/>
      </w:pPr>
      <w:bookmarkStart w:id="39" w:name="ref-rstudioref"/>
      <w:bookmarkEnd w:id="38"/>
      <w:r>
        <w:t xml:space="preserve">12. RStudio Team. </w:t>
      </w:r>
      <w:r>
        <w:rPr>
          <w:i/>
        </w:rPr>
        <w:t>RStudio: Integrated development environment for r</w:t>
      </w:r>
      <w:r>
        <w:t>. (RStudio, Inc., 2015).</w:t>
      </w:r>
    </w:p>
    <w:p w14:paraId="20D28A7F" w14:textId="77777777" w:rsidR="005713ED" w:rsidRDefault="005713ED" w:rsidP="005713ED">
      <w:pPr>
        <w:pStyle w:val="Bibliography"/>
      </w:pPr>
      <w:bookmarkStart w:id="40" w:name="ref-mathias_harrer_2019_2551803"/>
      <w:bookmarkEnd w:id="39"/>
      <w:r>
        <w:t>13. Harrer, M., Cuijpers, P. &amp; Ebert, D. Doing meta-analysis in R. (2019). doi:</w:t>
      </w:r>
      <w:hyperlink r:id="rId13">
        <w:r>
          <w:rPr>
            <w:rStyle w:val="Hyperlink"/>
          </w:rPr>
          <w:t>10.5281/zenodo.2551803</w:t>
        </w:r>
      </w:hyperlink>
    </w:p>
    <w:p w14:paraId="4817F49E" w14:textId="77777777" w:rsidR="005713ED" w:rsidRDefault="005713ED" w:rsidP="005713ED">
      <w:pPr>
        <w:pStyle w:val="Bibliography"/>
      </w:pPr>
      <w:bookmarkStart w:id="41" w:name="ref-veloso2020effectiveness"/>
      <w:bookmarkEnd w:id="40"/>
      <w:r>
        <w:t xml:space="preserve">14. Veloso, A., Vicente, S. G. &amp; Filipe, M. G. Effectiveness of cognitive training for school-aged children and adolescents with attention deficit/hyperactivity disorder: A systematic review. </w:t>
      </w:r>
      <w:r>
        <w:rPr>
          <w:i/>
        </w:rPr>
        <w:t>Frontiers in Psychology</w:t>
      </w:r>
      <w:r>
        <w:t xml:space="preserve"> </w:t>
      </w:r>
      <w:r>
        <w:rPr>
          <w:b/>
        </w:rPr>
        <w:t>10</w:t>
      </w:r>
      <w:r>
        <w:t>, 2983 (2020).</w:t>
      </w:r>
    </w:p>
    <w:p w14:paraId="5A101A01" w14:textId="77777777" w:rsidR="005713ED" w:rsidRDefault="005713ED" w:rsidP="005713ED">
      <w:pPr>
        <w:pStyle w:val="Bibliography"/>
      </w:pPr>
      <w:bookmarkStart w:id="42" w:name="ref-habadi2019prevalence"/>
      <w:bookmarkEnd w:id="41"/>
      <w:r>
        <w:t xml:space="preserve">15. Habadi, M. I. </w:t>
      </w:r>
      <w:r>
        <w:rPr>
          <w:i/>
        </w:rPr>
        <w:t>et al.</w:t>
      </w:r>
      <w:r>
        <w:t xml:space="preserve"> Prevalence of panic disorders in the primary health care setting: A systematic review and meta-analysis. </w:t>
      </w:r>
      <w:r>
        <w:rPr>
          <w:i/>
        </w:rPr>
        <w:t>EC Microbiology</w:t>
      </w:r>
      <w:r>
        <w:t xml:space="preserve"> </w:t>
      </w:r>
      <w:r>
        <w:rPr>
          <w:b/>
        </w:rPr>
        <w:t>16</w:t>
      </w:r>
      <w:r>
        <w:t>, 01–09 (2019).</w:t>
      </w:r>
    </w:p>
    <w:p w14:paraId="36C27294" w14:textId="77777777" w:rsidR="005713ED" w:rsidRDefault="005713ED" w:rsidP="005713ED">
      <w:pPr>
        <w:pStyle w:val="Bibliography"/>
      </w:pPr>
      <w:bookmarkStart w:id="43" w:name="ref-gibb2019consistent"/>
      <w:bookmarkEnd w:id="42"/>
      <w:r>
        <w:lastRenderedPageBreak/>
        <w:t xml:space="preserve">16. Gibb, K. </w:t>
      </w:r>
      <w:r>
        <w:rPr>
          <w:i/>
        </w:rPr>
        <w:t>et al.</w:t>
      </w:r>
      <w:r>
        <w:t xml:space="preserve"> The consistent burden in published estimates of delirium occurrence in medical inpatients over four decades: A systematic review and meta-analysis study. </w:t>
      </w:r>
      <w:r>
        <w:rPr>
          <w:i/>
        </w:rPr>
        <w:t>medRxiv</w:t>
      </w:r>
      <w:r>
        <w:t xml:space="preserve"> 19005165 (2019).</w:t>
      </w:r>
    </w:p>
    <w:p w14:paraId="5CB265EA" w14:textId="77777777" w:rsidR="005713ED" w:rsidRDefault="005713ED" w:rsidP="005713ED">
      <w:pPr>
        <w:pStyle w:val="Bibliography"/>
      </w:pPr>
      <w:bookmarkStart w:id="44" w:name="ref-cochranechpt7"/>
      <w:bookmarkEnd w:id="43"/>
      <w:r>
        <w:t>17. Chandler, J., Cumpston, M., Li, T., Page, M. J. &amp; Welch, V. A. Cochrane handbook for systematic reviews of interventions. in (John Wiley &amp; Sons, 2019).</w:t>
      </w:r>
    </w:p>
    <w:p w14:paraId="42FCAD28" w14:textId="77777777" w:rsidR="005713ED" w:rsidRDefault="005713ED" w:rsidP="005713ED">
      <w:pPr>
        <w:pStyle w:val="Bibliography"/>
      </w:pPr>
      <w:bookmarkStart w:id="45" w:name="ref-wilkinson2012grammar"/>
      <w:bookmarkEnd w:id="44"/>
      <w:r>
        <w:t xml:space="preserve">18. Wilkinson, L. The grammar of graphics. in </w:t>
      </w:r>
      <w:r>
        <w:rPr>
          <w:i/>
        </w:rPr>
        <w:t>Handbook of computational statistics</w:t>
      </w:r>
      <w:r>
        <w:t xml:space="preserve"> 375–414 (Springer, 2012).</w:t>
      </w:r>
    </w:p>
    <w:p w14:paraId="728BA7A0" w14:textId="77777777" w:rsidR="005713ED" w:rsidRDefault="005713ED" w:rsidP="005713ED">
      <w:pPr>
        <w:pStyle w:val="Bibliography"/>
      </w:pPr>
      <w:bookmarkStart w:id="46" w:name="ref-ggplot2ref"/>
      <w:bookmarkEnd w:id="45"/>
      <w:r>
        <w:t xml:space="preserve">19. Wickham, H. </w:t>
      </w:r>
      <w:r>
        <w:rPr>
          <w:i/>
        </w:rPr>
        <w:t>ggplot2: Elegant graphics for data analysis</w:t>
      </w:r>
      <w:r>
        <w:t>. (Springer-Verlag New York, 2016).</w:t>
      </w:r>
    </w:p>
    <w:p w14:paraId="72AAABFE" w14:textId="77777777" w:rsidR="005713ED" w:rsidRDefault="005713ED" w:rsidP="005713ED">
      <w:pPr>
        <w:pStyle w:val="Bibliography"/>
      </w:pPr>
      <w:bookmarkStart w:id="47" w:name="ref-robviswebapp"/>
      <w:bookmarkEnd w:id="46"/>
      <w:r>
        <w:t xml:space="preserve">20. Robvis web application. </w:t>
      </w:r>
      <w:r>
        <w:rPr>
          <w:i/>
        </w:rPr>
        <w:t>riskofbias.info</w:t>
      </w:r>
    </w:p>
    <w:p w14:paraId="18952DAE" w14:textId="77777777" w:rsidR="005713ED" w:rsidRDefault="005713ED" w:rsidP="005713ED">
      <w:pPr>
        <w:pStyle w:val="Bibliography"/>
      </w:pPr>
      <w:bookmarkStart w:id="48" w:name="ref-wickham2015r"/>
      <w:bookmarkEnd w:id="47"/>
      <w:r>
        <w:t xml:space="preserve">21. Wickham, H. </w:t>
      </w:r>
      <w:r>
        <w:rPr>
          <w:i/>
        </w:rPr>
        <w:t>R packages: Organize, test, document, and share your code</w:t>
      </w:r>
      <w:r>
        <w:t>. (" O’Reilly Media, Inc.", 2015).</w:t>
      </w:r>
    </w:p>
    <w:p w14:paraId="2E06302C" w14:textId="77777777" w:rsidR="005713ED" w:rsidRDefault="005713ED" w:rsidP="005713ED">
      <w:pPr>
        <w:pStyle w:val="Bibliography"/>
      </w:pPr>
      <w:bookmarkStart w:id="49" w:name="ref-xie2018r"/>
      <w:bookmarkEnd w:id="48"/>
      <w:r>
        <w:t xml:space="preserve">22. Xie, Y., Allaire, J. J. &amp; Grolemund, G. </w:t>
      </w:r>
      <w:r>
        <w:rPr>
          <w:i/>
        </w:rPr>
        <w:t>R markdown: The definitive guide</w:t>
      </w:r>
      <w:r>
        <w:t>. (Chapman; Hall/CRC, 2018).</w:t>
      </w:r>
    </w:p>
    <w:p w14:paraId="3E72D828" w14:textId="77777777" w:rsidR="005713ED" w:rsidRDefault="005713ED" w:rsidP="005713ED">
      <w:pPr>
        <w:pStyle w:val="Bibliography"/>
      </w:pPr>
      <w:bookmarkStart w:id="50" w:name="ref-grames2019automated"/>
      <w:bookmarkEnd w:id="49"/>
      <w:r>
        <w:t xml:space="preserve">23. Grames, E. M., Stillman, A. N., Tingley, M. W. &amp; Elphick, C. S. An automated approach to identifying search terms for systematic reviews using keyword co-occurrence networks. </w:t>
      </w:r>
      <w:r>
        <w:rPr>
          <w:i/>
        </w:rPr>
        <w:t>Methods in Ecology and Evolution</w:t>
      </w:r>
      <w:r>
        <w:t xml:space="preserve"> </w:t>
      </w:r>
      <w:r>
        <w:rPr>
          <w:b/>
        </w:rPr>
        <w:t>10</w:t>
      </w:r>
      <w:r>
        <w:t>, 1645–1654 (2019).</w:t>
      </w:r>
    </w:p>
    <w:p w14:paraId="56DB5E02" w14:textId="77777777" w:rsidR="005713ED" w:rsidRDefault="005713ED" w:rsidP="005713ED">
      <w:pPr>
        <w:pStyle w:val="Bibliography"/>
      </w:pPr>
      <w:bookmarkStart w:id="51" w:name="ref-westgate2019revtools"/>
      <w:bookmarkEnd w:id="50"/>
      <w:r>
        <w:t xml:space="preserve">24. Westgate, M. J. Revtools: An r package to support article screening for evidence synthesis. </w:t>
      </w:r>
      <w:r>
        <w:rPr>
          <w:i/>
        </w:rPr>
        <w:t>Research synthesis methods</w:t>
      </w:r>
      <w:r>
        <w:t xml:space="preserve"> (2019).</w:t>
      </w:r>
    </w:p>
    <w:p w14:paraId="38B246A6" w14:textId="77777777" w:rsidR="005713ED" w:rsidRDefault="005713ED" w:rsidP="005713ED">
      <w:pPr>
        <w:pStyle w:val="Bibliography"/>
      </w:pPr>
      <w:bookmarkStart w:id="52" w:name="ref-metaforref"/>
      <w:bookmarkEnd w:id="51"/>
      <w:r>
        <w:t xml:space="preserve">25. Viechtbauer, W. Conducting meta-analyses in R with the metafor package. </w:t>
      </w:r>
      <w:r>
        <w:rPr>
          <w:i/>
        </w:rPr>
        <w:t>Journal of Statistical Software</w:t>
      </w:r>
      <w:r>
        <w:t xml:space="preserve"> </w:t>
      </w:r>
      <w:r>
        <w:rPr>
          <w:b/>
        </w:rPr>
        <w:t>36</w:t>
      </w:r>
      <w:r>
        <w:t>, 1–48 (2010).</w:t>
      </w:r>
      <w:bookmarkEnd w:id="28"/>
      <w:bookmarkEnd w:id="52"/>
    </w:p>
    <w:p w14:paraId="142EAA94" w14:textId="5DB1A240" w:rsidR="00953F30" w:rsidRPr="00B472AE" w:rsidRDefault="00953F30" w:rsidP="00B472AE"/>
    <w:sectPr w:rsidR="00953F30" w:rsidRPr="00B472AE" w:rsidSect="003E1F08">
      <w:footerReference w:type="default" r:id="rId14"/>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EAA9F" w14:textId="77777777" w:rsidR="003E1F08" w:rsidRDefault="003E1F08">
      <w:pPr>
        <w:spacing w:after="0"/>
      </w:pPr>
      <w:r>
        <w:separator/>
      </w:r>
    </w:p>
  </w:endnote>
  <w:endnote w:type="continuationSeparator" w:id="0">
    <w:p w14:paraId="142EAAA1" w14:textId="77777777" w:rsidR="003E1F08" w:rsidRDefault="003E1F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0858167"/>
      <w:docPartObj>
        <w:docPartGallery w:val="Page Numbers (Bottom of Page)"/>
        <w:docPartUnique/>
      </w:docPartObj>
    </w:sdtPr>
    <w:sdtEndPr>
      <w:rPr>
        <w:noProof/>
      </w:rPr>
    </w:sdtEndPr>
    <w:sdtContent>
      <w:p w14:paraId="142EAA9B" w14:textId="77777777" w:rsidR="003E1F08" w:rsidRDefault="003E1F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2EAA9C" w14:textId="77777777" w:rsidR="003E1F08" w:rsidRDefault="003E1F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2EAA99" w14:textId="77777777" w:rsidR="003E1F08" w:rsidRDefault="003E1F08">
      <w:r>
        <w:separator/>
      </w:r>
    </w:p>
  </w:footnote>
  <w:footnote w:type="continuationSeparator" w:id="0">
    <w:p w14:paraId="142EAA9A" w14:textId="77777777" w:rsidR="003E1F08" w:rsidRDefault="003E1F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9584940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C1AE401"/>
    <w:multiLevelType w:val="multilevel"/>
    <w:tmpl w:val="F2CAC1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71315DCA"/>
    <w:multiLevelType w:val="multilevel"/>
    <w:tmpl w:val="D7A2EAD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9"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7"/>
  </w:num>
  <w:num w:numId="4">
    <w:abstractNumId w:val="17"/>
  </w:num>
  <w:num w:numId="5">
    <w:abstractNumId w:val="17"/>
  </w:num>
  <w:num w:numId="6">
    <w:abstractNumId w:val="17"/>
  </w:num>
  <w:num w:numId="7">
    <w:abstractNumId w:val="17"/>
  </w:num>
  <w:num w:numId="8">
    <w:abstractNumId w:val="17"/>
  </w:num>
  <w:num w:numId="9">
    <w:abstractNumId w:val="14"/>
  </w:num>
  <w:num w:numId="10">
    <w:abstractNumId w:val="15"/>
  </w:num>
  <w:num w:numId="11">
    <w:abstractNumId w:val="15"/>
  </w:num>
  <w:num w:numId="12">
    <w:abstractNumId w:val="12"/>
  </w:num>
  <w:num w:numId="13">
    <w:abstractNumId w:val="10"/>
  </w:num>
  <w:num w:numId="14">
    <w:abstractNumId w:val="9"/>
  </w:num>
  <w:num w:numId="15">
    <w:abstractNumId w:val="8"/>
  </w:num>
  <w:num w:numId="16">
    <w:abstractNumId w:val="7"/>
  </w:num>
  <w:num w:numId="17">
    <w:abstractNumId w:val="11"/>
  </w:num>
  <w:num w:numId="18">
    <w:abstractNumId w:val="6"/>
  </w:num>
  <w:num w:numId="19">
    <w:abstractNumId w:val="5"/>
  </w:num>
  <w:num w:numId="20">
    <w:abstractNumId w:val="4"/>
  </w:num>
  <w:num w:numId="21">
    <w:abstractNumId w:val="3"/>
  </w:num>
  <w:num w:numId="22">
    <w:abstractNumId w:val="19"/>
  </w:num>
  <w:num w:numId="23">
    <w:abstractNumId w:val="13"/>
  </w:num>
  <w:num w:numId="24">
    <w:abstractNumId w:val="15"/>
  </w:num>
  <w:num w:numId="25">
    <w:abstractNumId w:val="16"/>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07A0F"/>
    <w:rsid w:val="00011C8B"/>
    <w:rsid w:val="00014884"/>
    <w:rsid w:val="000172FC"/>
    <w:rsid w:val="00080BDD"/>
    <w:rsid w:val="000B7F1D"/>
    <w:rsid w:val="00104AD5"/>
    <w:rsid w:val="00171FAC"/>
    <w:rsid w:val="001C68D4"/>
    <w:rsid w:val="00243967"/>
    <w:rsid w:val="002B55C9"/>
    <w:rsid w:val="003E1F08"/>
    <w:rsid w:val="00437AED"/>
    <w:rsid w:val="00470CD8"/>
    <w:rsid w:val="00471CC6"/>
    <w:rsid w:val="004B1E39"/>
    <w:rsid w:val="004E29B3"/>
    <w:rsid w:val="005612F8"/>
    <w:rsid w:val="005713ED"/>
    <w:rsid w:val="00581291"/>
    <w:rsid w:val="00590D07"/>
    <w:rsid w:val="005A4709"/>
    <w:rsid w:val="007165A3"/>
    <w:rsid w:val="00742F1A"/>
    <w:rsid w:val="007561AB"/>
    <w:rsid w:val="00784D58"/>
    <w:rsid w:val="007C7EE2"/>
    <w:rsid w:val="007F5A83"/>
    <w:rsid w:val="008075AC"/>
    <w:rsid w:val="00830D57"/>
    <w:rsid w:val="00861230"/>
    <w:rsid w:val="008D6863"/>
    <w:rsid w:val="009212CE"/>
    <w:rsid w:val="00953F30"/>
    <w:rsid w:val="009739C0"/>
    <w:rsid w:val="009871B6"/>
    <w:rsid w:val="009C6DBB"/>
    <w:rsid w:val="00A05CD7"/>
    <w:rsid w:val="00A42C6E"/>
    <w:rsid w:val="00AE0449"/>
    <w:rsid w:val="00B356FD"/>
    <w:rsid w:val="00B472AE"/>
    <w:rsid w:val="00B86B75"/>
    <w:rsid w:val="00BC0E31"/>
    <w:rsid w:val="00BC48D5"/>
    <w:rsid w:val="00C36279"/>
    <w:rsid w:val="00C4357A"/>
    <w:rsid w:val="00CF1A60"/>
    <w:rsid w:val="00D234D6"/>
    <w:rsid w:val="00D64D28"/>
    <w:rsid w:val="00E01C80"/>
    <w:rsid w:val="00E315A3"/>
    <w:rsid w:val="00E9254E"/>
    <w:rsid w:val="00EA00B4"/>
    <w:rsid w:val="00F173D9"/>
    <w:rsid w:val="00F47E82"/>
    <w:rsid w:val="00FC1CC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EA9A2"/>
  <w15:docId w15:val="{6037D27B-4BBF-43B2-9F3B-CA1ABA040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 w:type="table" w:styleId="TableGridLight">
    <w:name w:val="Grid Table Light"/>
    <w:basedOn w:val="TableNormal"/>
    <w:rsid w:val="00B356FD"/>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robvis" TargetMode="External"/><Relationship Id="rId13" Type="http://schemas.openxmlformats.org/officeDocument/2006/relationships/hyperlink" Target="https://doi.org/10.5281/zenodo.2551803" TargetMode="External"/><Relationship Id="rId3" Type="http://schemas.openxmlformats.org/officeDocument/2006/relationships/settings" Target="settings.xml"/><Relationship Id="rId7" Type="http://schemas.openxmlformats.org/officeDocument/2006/relationships/hyperlink" Target="mailto:luke.mcguinness@bristol.ac.uk"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mcguinlu/robvis" TargetMode="External"/><Relationship Id="rId4" Type="http://schemas.openxmlformats.org/officeDocument/2006/relationships/webSettings" Target="webSettings.xml"/><Relationship Id="rId9" Type="http://schemas.openxmlformats.org/officeDocument/2006/relationships/hyperlink" Target="https://github.com/mcguinlu/robvi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3190</Words>
  <Characters>18184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RSM-paper</vt:lpstr>
    </vt:vector>
  </TitlesOfParts>
  <Company>University of Bristol</Company>
  <LinksUpToDate>false</LinksUpToDate>
  <CharactersWithSpaces>21332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RSM-paper</dc:title>
  <dc:creator>Luke McGuinness</dc:creator>
  <cp:keywords/>
  <cp:lastModifiedBy>Luke McGuinness</cp:lastModifiedBy>
  <cp:revision>2</cp:revision>
  <dcterms:created xsi:type="dcterms:W3CDTF">2020-01-28T13:20:00Z</dcterms:created>
  <dcterms:modified xsi:type="dcterms:W3CDTF">2020-01-28T13:20:00Z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nature.csl</vt:lpwstr>
  </property>
  <property fmtid="{D5CDD505-2E9C-101B-9397-08002B2CF9AE}" pid="4" name="output">
    <vt:lpwstr/>
  </property>
</Properties>
</file>