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" w:hAnsi="Aptos"/>
          <w:b/>
          <w:color w:val="5467B0"/>
          <w:sz w:val="32"/>
        </w:rPr>
        <w:t>Backlog — RI&amp;E-toets-tool (AMM Consultancy)</w:t>
      </w:r>
    </w:p>
    <w:p>
      <w:r>
        <w:rPr>
          <w:rFonts w:ascii="Aptos" w:hAnsi="Aptos"/>
        </w:rPr>
        <w:t>Overzicht van mogelijk vervolgwerk voor de RI&amp;E-toets-tool, geprioriteerd</w:t>
      </w:r>
    </w:p>
    <w:p>
      <w:r>
        <w:rPr>
          <w:rFonts w:ascii="Aptos" w:hAnsi="Aptos"/>
        </w:rPr>
        <w:t>volgens MoSCoW (</w:t>
      </w:r>
      <w:r>
        <w:rPr>
          <w:rFonts w:ascii="Aptos" w:hAnsi="Aptos"/>
          <w:b/>
        </w:rPr>
        <w:t>Moet</w:t>
      </w:r>
      <w:r>
        <w:rPr>
          <w:rFonts w:ascii="Aptos" w:hAnsi="Aptos"/>
        </w:rPr>
        <w:t xml:space="preserve"> / </w:t>
      </w:r>
      <w:r>
        <w:rPr>
          <w:rFonts w:ascii="Aptos" w:hAnsi="Aptos"/>
          <w:b/>
        </w:rPr>
        <w:t>Zou</w:t>
      </w:r>
      <w:r>
        <w:rPr>
          <w:rFonts w:ascii="Aptos" w:hAnsi="Aptos"/>
        </w:rPr>
        <w:t xml:space="preserve"> / </w:t>
      </w:r>
      <w:r>
        <w:rPr>
          <w:rFonts w:ascii="Aptos" w:hAnsi="Aptos"/>
          <w:b/>
        </w:rPr>
        <w:t>Kan</w:t>
      </w:r>
      <w:r>
        <w:rPr>
          <w:rFonts w:ascii="Aptos" w:hAnsi="Aptos"/>
        </w:rPr>
        <w:t xml:space="preserve"> / </w:t>
      </w:r>
      <w:r>
        <w:rPr>
          <w:rFonts w:ascii="Aptos" w:hAnsi="Aptos"/>
          <w:b/>
        </w:rPr>
        <w:t>Later</w:t>
      </w:r>
      <w:r>
        <w:rPr>
          <w:rFonts w:ascii="Aptos" w:hAnsi="Aptos"/>
        </w:rPr>
        <w:t>). Peildatum: 2026-06-20.</w:t>
      </w:r>
    </w:p>
    <w:p>
      <w:pPr>
        <w:pStyle w:val="Heading2"/>
      </w:pPr>
      <w:r>
        <w:rPr>
          <w:rFonts w:ascii="Aptos" w:hAnsi="Aptos"/>
          <w:b/>
          <w:color w:val="5467B0"/>
          <w:sz w:val="26"/>
        </w:rPr>
        <w:t>Status van vandaag</w:t>
      </w:r>
    </w:p>
    <w:p>
      <w:r>
        <w:rPr>
          <w:rFonts w:ascii="Aptos" w:hAnsi="Aptos"/>
        </w:rPr>
        <w:t xml:space="preserve">De tool is werkend en staat op </w:t>
      </w:r>
      <w:r>
        <w:rPr>
          <w:rFonts w:ascii="Consolas" w:hAnsi="Consolas"/>
        </w:rPr>
        <w:t>main</w:t>
      </w:r>
      <w:r>
        <w:rPr>
          <w:rFonts w:ascii="Aptos" w:hAnsi="Aptos"/>
        </w:rPr>
        <w:t>: RI&amp;E + Plan van Aanpak toetsen aan de</w:t>
      </w:r>
    </w:p>
    <w:p>
      <w:r>
        <w:rPr>
          <w:rFonts w:ascii="Aptos" w:hAnsi="Aptos"/>
        </w:rPr>
        <w:t>criteria (Stcrt. 2024 nr. 39674), rapport in Markdown of Word (AMM-huisstijl,</w:t>
      </w:r>
    </w:p>
    <w:p>
      <w:r>
        <w:rPr>
          <w:rFonts w:ascii="Aptos" w:hAnsi="Aptos"/>
        </w:rPr>
        <w:t>optioneel op basis van het AMM-sjabloon), CLI met begeleide Windows-startscripts,</w:t>
      </w:r>
    </w:p>
    <w:p>
      <w:r>
        <w:rPr>
          <w:rFonts w:ascii="Aptos" w:hAnsi="Aptos"/>
        </w:rPr>
        <w:t xml:space="preserve">handleiding en 13 offline tests. De </w:t>
      </w:r>
      <w:r>
        <w:rPr>
          <w:rFonts w:ascii="Aptos" w:hAnsi="Aptos"/>
          <w:b/>
        </w:rPr>
        <w:t>live toetsing via de Claude API</w:t>
      </w:r>
      <w:r>
        <w:rPr>
          <w:rFonts w:ascii="Aptos" w:hAnsi="Aptos"/>
        </w:rPr>
        <w:t xml:space="preserve"> is nog</w:t>
      </w:r>
    </w:p>
    <w:p>
      <w:r>
        <w:rPr>
          <w:rFonts w:ascii="Aptos" w:hAnsi="Aptos"/>
        </w:rPr>
        <w:t>niet end-to-end geverifieerd met een echte RI&amp;E.</w:t>
      </w:r>
    </w:p>
    <w:p>
      <w:pPr>
        <w:pStyle w:val="Heading2"/>
      </w:pPr>
      <w:r>
        <w:rPr>
          <w:rFonts w:ascii="Aptos" w:hAnsi="Aptos"/>
          <w:b/>
          <w:color w:val="5467B0"/>
          <w:sz w:val="26"/>
        </w:rPr>
        <w:t>Geprioriteerde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hd w:val="clear" w:color="auto" w:fill="5467B0"/>
            </w:pPr>
            <w:r>
              <w:rPr>
                <w:rFonts w:ascii="Aptos" w:hAnsi="Aptos"/>
                <w:b/>
                <w:color w:val="FFFFFF"/>
              </w:rPr>
              <w:t>ID</w:t>
            </w:r>
          </w:p>
        </w:tc>
        <w:tc>
          <w:tcPr>
            <w:tcW w:type="dxa" w:w="1728"/>
          </w:tcPr>
          <w:p>
            <w:pPr>
              <w:shd w:val="clear" w:color="auto" w:fill="5467B0"/>
            </w:pPr>
            <w:r>
              <w:rPr>
                <w:rFonts w:ascii="Aptos" w:hAnsi="Aptos"/>
                <w:b/>
                <w:color w:val="FFFFFF"/>
              </w:rPr>
              <w:t>Prioriteit</w:t>
            </w:r>
          </w:p>
        </w:tc>
        <w:tc>
          <w:tcPr>
            <w:tcW w:type="dxa" w:w="1728"/>
          </w:tcPr>
          <w:p>
            <w:pPr>
              <w:shd w:val="clear" w:color="auto" w:fill="5467B0"/>
            </w:pPr>
            <w:r>
              <w:rPr>
                <w:rFonts w:ascii="Aptos" w:hAnsi="Aptos"/>
                <w:b/>
                <w:color w:val="FFFFFF"/>
              </w:rPr>
              <w:t>Onderdeel</w:t>
            </w:r>
          </w:p>
        </w:tc>
        <w:tc>
          <w:tcPr>
            <w:tcW w:type="dxa" w:w="1728"/>
          </w:tcPr>
          <w:p>
            <w:pPr>
              <w:shd w:val="clear" w:color="auto" w:fill="5467B0"/>
            </w:pPr>
            <w:r>
              <w:rPr>
                <w:rFonts w:ascii="Aptos" w:hAnsi="Aptos"/>
                <w:b/>
                <w:color w:val="FFFFFF"/>
              </w:rPr>
              <w:t>Beschrijving</w:t>
            </w:r>
          </w:p>
        </w:tc>
        <w:tc>
          <w:tcPr>
            <w:tcW w:type="dxa" w:w="1728"/>
          </w:tcPr>
          <w:p>
            <w:pPr>
              <w:shd w:val="clear" w:color="auto" w:fill="5467B0"/>
            </w:pPr>
            <w:r>
              <w:rPr>
                <w:rFonts w:ascii="Aptos" w:hAnsi="Aptos"/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</w:rPr>
              <w:t>B1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Moet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Live verificatie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Eén echte RI&amp;E + Plan van Aanpak toetsen met API-sleutel; oordelen, bevindingen en advies controleren op inhoud.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</w:rPr>
              <w:t>B2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Moet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AMM-sjabloon valideren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 xml:space="preserve">De export testen met het échte </w:t>
            </w:r>
            <w:r>
              <w:rPr>
                <w:rFonts w:ascii="Consolas" w:hAnsi="Consolas"/>
              </w:rPr>
              <w:t>AMM_..._SJABLOON_v2.2.docx</w:t>
            </w:r>
            <w:r>
              <w:rPr>
                <w:rFonts w:ascii="Aptos" w:hAnsi="Aptos"/>
              </w:rPr>
              <w:t>: logo, marges, koptekst, voettekst en paginanummering.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</w:rPr>
              <w:t>B3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Moet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Kwaliteitscontrole oordelen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Steekproef: kloppen de oordelen (Ja/Deels/Nee/n.v.t.) en verwijzen adviezen naar de juiste artikelen/normen?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</w:rPr>
              <w:t>B4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Zou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Hertoetsing ontbrekende regels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Als een toetsregel geen oordeel kreeg, gericht opnieuw laten beoordelen i.p.v. de hele toetsing.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</w:rPr>
              <w:t>B5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Zou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Verdiepende onderzoeken (Bijlage 1)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Per organisatie automatisch markeren welke verdiepende onderzoeken relevant zijn conform Stcrt. 2024-39674.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</w:rPr>
              <w:t>B6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Zou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Tweede-lezing (adversarial)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Oordelen laten verifiëren door een tweede modelronde die tegenspraak zoekt, vóór opname in het rapport.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</w:rPr>
              <w:t>B7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Zou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Batch-toetsing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Meerdere RI&amp;E's in één keer toetsen (map met documenten) met overzichtsrapport.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</w:rPr>
              <w:t>B8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Zou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Kostenraming vooraf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Tokentelling en geschatte kosten tonen vóór de toetsing start.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</w:rPr>
              <w:t>B9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Zou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AKD-gegevens configureerbaar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 xml:space="preserve">AKD-naam, registratie en contact via </w:t>
            </w:r>
            <w:r>
              <w:rPr>
                <w:rFonts w:ascii="Consolas" w:hAnsi="Consolas"/>
              </w:rPr>
              <w:t>.env</w:t>
            </w:r>
            <w:r>
              <w:rPr>
                <w:rFonts w:ascii="Aptos" w:hAnsi="Aptos"/>
              </w:rPr>
              <w:t>/config i.p.v. in de code.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</w:rPr>
              <w:t>B10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Zou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.doc</w:t>
            </w:r>
            <w:r>
              <w:rPr>
                <w:rFonts w:ascii="Aptos" w:hAnsi="Aptos"/>
              </w:rPr>
              <w:t xml:space="preserve"> ondersteunen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Ook oud Word-formaat (</w:t>
            </w:r>
            <w:r>
              <w:rPr>
                <w:rFonts w:ascii="Consolas" w:hAnsi="Consolas"/>
              </w:rPr>
              <w:t>.doc</w:t>
            </w:r>
            <w:r>
              <w:rPr>
                <w:rFonts w:ascii="Aptos" w:hAnsi="Aptos"/>
              </w:rPr>
              <w:t xml:space="preserve">) kunnen inlezen, naast </w:t>
            </w:r>
            <w:r>
              <w:rPr>
                <w:rFonts w:ascii="Consolas" w:hAnsi="Consolas"/>
              </w:rPr>
              <w:t>.pdf</w:t>
            </w:r>
            <w:r>
              <w:rPr>
                <w:rFonts w:ascii="Aptos" w:hAnsi="Aptos"/>
              </w:rPr>
              <w:t>/</w:t>
            </w:r>
            <w:r>
              <w:rPr>
                <w:rFonts w:ascii="Consolas" w:hAnsi="Consolas"/>
              </w:rPr>
              <w:t>.docx</w:t>
            </w:r>
            <w:r>
              <w:rPr>
                <w:rFonts w:ascii="Aptos" w:hAnsi="Aptos"/>
              </w:rPr>
              <w:t>/</w:t>
            </w:r>
            <w:r>
              <w:rPr>
                <w:rFonts w:ascii="Consolas" w:hAnsi="Consolas"/>
              </w:rPr>
              <w:t>.txt</w:t>
            </w:r>
            <w:r>
              <w:rPr>
                <w:rFonts w:ascii="Aptos" w:hAnsi="Aptos"/>
              </w:rPr>
              <w:t>/</w:t>
            </w:r>
            <w:r>
              <w:rPr>
                <w:rFonts w:ascii="Consolas" w:hAnsi="Consolas"/>
              </w:rPr>
              <w:t>.md</w:t>
            </w:r>
            <w:r>
              <w:rPr>
                <w:rFonts w:ascii="Aptos" w:hAnsi="Aptos"/>
              </w:rPr>
              <w:t>.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</w:rPr>
              <w:t>B11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Kan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Grafische interface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Eenvoudige GUI (venster met knoppen) i.p.v. de opdrachtregel.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</w:rPr>
              <w:t>B12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Kan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Export naar PDF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Rapport ook als PDF kunnen opleveren.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</w:rPr>
              <w:t>B13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Kan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SharePoint-koppeling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Documenten rechtstreeks uit SharePoint ophalen en rapport terugplaatsen.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</w:rPr>
              <w:t>B14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Kan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Tests uitbreiden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 xml:space="preserve">Tests voor </w:t>
            </w:r>
            <w:r>
              <w:rPr>
                <w:rFonts w:ascii="Consolas" w:hAnsi="Consolas"/>
              </w:rPr>
              <w:t>documenten.py</w:t>
            </w:r>
            <w:r>
              <w:rPr>
                <w:rFonts w:ascii="Aptos" w:hAnsi="Aptos"/>
              </w:rPr>
              <w:t xml:space="preserve"> en </w:t>
            </w:r>
            <w:r>
              <w:rPr>
                <w:rFonts w:ascii="Consolas" w:hAnsi="Consolas"/>
              </w:rPr>
              <w:t>toetser.py</w:t>
            </w:r>
            <w:r>
              <w:rPr>
                <w:rFonts w:ascii="Aptos" w:hAnsi="Aptos"/>
              </w:rPr>
              <w:t xml:space="preserve"> (met gemockte API).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</w:rPr>
              <w:t>B15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Kan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CI (GitHub Actions)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Automatisch de tests draaien bij elke wijziging.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</w:rPr>
              <w:t>B16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Kan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Afhankelijkheden vastzetten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Versies pinnen/lockfile voor reproduceerbare installatie.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</w:rPr>
              <w:t>B17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Kan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Logging en audit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Toetsingen loggen (wanneer, welk document, welk model) voor traceerbaarheid.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</w:rPr>
              <w:t>B18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Later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Integratie SHE-app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 xml:space="preserve">Koppelen aan de bestaande FastAPI-RI&amp;E-app (branch </w:t>
            </w:r>
            <w:r>
              <w:rPr>
                <w:rFonts w:ascii="Consolas" w:hAnsi="Consolas"/>
              </w:rPr>
              <w:t>verhip-integration</w:t>
            </w:r>
            <w:r>
              <w:rPr>
                <w:rFonts w:ascii="Aptos" w:hAnsi="Aptos"/>
              </w:rPr>
              <w:t>).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</w:rPr>
              <w:t>Open</w:t>
            </w:r>
          </w:p>
        </w:tc>
      </w:tr>
    </w:tbl>
    <w:p>
      <w:pPr>
        <w:pStyle w:val="Heading2"/>
      </w:pPr>
      <w:r>
        <w:rPr>
          <w:rFonts w:ascii="Aptos" w:hAnsi="Aptos"/>
          <w:b/>
          <w:color w:val="5467B0"/>
          <w:sz w:val="26"/>
        </w:rPr>
        <w:t>Bekende beperkingen</w:t>
      </w:r>
    </w:p>
    <w:p>
      <w:pPr>
        <w:pStyle w:val="ListBullet"/>
      </w:pPr>
      <w:r>
        <w:rPr>
          <w:rFonts w:ascii="Aptos" w:hAnsi="Aptos"/>
        </w:rPr>
        <w:t xml:space="preserve">De live toetsing is afhankelijk van een geldige </w:t>
      </w:r>
      <w:r>
        <w:rPr>
          <w:rFonts w:ascii="Consolas" w:hAnsi="Consolas"/>
        </w:rPr>
        <w:t>ANTHROPIC_API_KEY</w:t>
      </w:r>
      <w:r>
        <w:rPr>
          <w:rFonts w:ascii="Aptos" w:hAnsi="Aptos"/>
        </w:rPr>
        <w:t xml:space="preserve"> en</w:t>
      </w:r>
    </w:p>
    <w:p>
      <w:r>
        <w:rPr>
          <w:rFonts w:ascii="Aptos" w:hAnsi="Aptos"/>
        </w:rPr>
        <w:t>internettoegang.</w:t>
      </w:r>
    </w:p>
    <w:p>
      <w:pPr>
        <w:pStyle w:val="ListBullet"/>
      </w:pPr>
      <w:r>
        <w:rPr>
          <w:rFonts w:ascii="Aptos" w:hAnsi="Aptos"/>
        </w:rPr>
        <w:t>De Word-export bouwt de toetstabellen opnieuw op; alleen de sjabloon-onderdelen</w:t>
      </w:r>
    </w:p>
    <w:p>
      <w:r>
        <w:rPr>
          <w:rFonts w:ascii="Aptos" w:hAnsi="Aptos"/>
        </w:rPr>
        <w:t>(logo, kop-/voettekst, marges) worden overgenomen, niet de exacte</w:t>
      </w:r>
    </w:p>
    <w:p>
      <w:r>
        <w:rPr>
          <w:rFonts w:ascii="Aptos" w:hAnsi="Aptos"/>
        </w:rPr>
        <w:t>tabelopmaak van het sjabloon.</w:t>
      </w:r>
    </w:p>
    <w:p>
      <w:pPr>
        <w:pStyle w:val="ListBullet"/>
      </w:pPr>
      <w:r>
        <w:rPr>
          <w:rFonts w:ascii="Aptos" w:hAnsi="Aptos"/>
        </w:rPr>
        <w:t xml:space="preserve">Terminologie is vastgezet op </w:t>
      </w:r>
      <w:r>
        <w:rPr>
          <w:rFonts w:ascii="Aptos" w:hAnsi="Aptos"/>
          <w:b/>
        </w:rPr>
        <w:t>Kinney &amp; Wiruth</w:t>
      </w:r>
      <w:r>
        <w:rPr>
          <w:rFonts w:ascii="Aptos" w:hAnsi="Aptos"/>
        </w:rPr>
        <w:t>; de tool is uitsluitend</w:t>
      </w:r>
    </w:p>
    <w:p>
      <w:r>
        <w:rPr>
          <w:rFonts w:ascii="Aptos" w:hAnsi="Aptos"/>
        </w:rPr>
        <w:t>Nederlandstalig.</w:t>
      </w:r>
    </w:p>
    <w:p>
      <w:pPr>
        <w:pStyle w:val="ListBullet"/>
      </w:pPr>
      <w:r>
        <w:rPr>
          <w:rFonts w:ascii="Aptos" w:hAnsi="Aptos"/>
        </w:rPr>
        <w:t>De inhoudelijke eindverantwoordelijkheid berust altijd bij de gecertificeerde</w:t>
      </w:r>
    </w:p>
    <w:p>
      <w:r>
        <w:rPr>
          <w:rFonts w:ascii="Aptos" w:hAnsi="Aptos"/>
        </w:rPr>
        <w:t>arbokerndeskundige (AKD).</w:t>
      </w:r>
    </w:p>
    <w:p>
      <w:pPr>
        <w:pStyle w:val="Heading2"/>
      </w:pPr>
      <w:r>
        <w:rPr>
          <w:rFonts w:ascii="Aptos" w:hAnsi="Aptos"/>
          <w:b/>
          <w:color w:val="5467B0"/>
          <w:sz w:val="26"/>
        </w:rPr>
        <w:t>Notities</w:t>
      </w:r>
    </w:p>
    <w:p>
      <w:pPr>
        <w:pStyle w:val="ListBullet"/>
      </w:pPr>
      <w:r>
        <w:rPr>
          <w:rFonts w:ascii="Aptos" w:hAnsi="Aptos"/>
        </w:rPr>
        <w:t>Prioriteiten zijn een voorstel; pas ze aan op basis van de eerste echte</w:t>
      </w:r>
    </w:p>
    <w:p>
      <w:r>
        <w:rPr>
          <w:rFonts w:ascii="Aptos" w:hAnsi="Aptos"/>
        </w:rPr>
        <w:t>toetsing (B1) en de sjabloon-validatie (B2).</w:t>
      </w:r>
    </w:p>
    <w:p>
      <w:pPr>
        <w:pStyle w:val="ListBullet"/>
      </w:pPr>
      <w:r>
        <w:rPr>
          <w:rFonts w:ascii="Aptos" w:hAnsi="Aptos"/>
        </w:rPr>
        <w:t>Nieuwe wensen kunnen als extra regel (B19, B20, …) worden toegevoegd.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