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pxqr3pv64w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Part 1: Classical Machine Learning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70kc0zdkooz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build a </w:t>
      </w:r>
      <w:r w:rsidDel="00000000" w:rsidR="00000000" w:rsidRPr="00000000">
        <w:rPr>
          <w:b w:val="1"/>
          <w:rtl w:val="0"/>
        </w:rPr>
        <w:t xml:space="preserve">predictive model for resolution time estimation</w:t>
      </w:r>
      <w:r w:rsidDel="00000000" w:rsidR="00000000" w:rsidRPr="00000000">
        <w:rPr>
          <w:rtl w:val="0"/>
        </w:rPr>
        <w:t xml:space="preserve"> using classical machine learning techniques, incorporating both structured and unstructured data (text features).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i6hqd8pdp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Exploratory Data Analysis (EDA)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9ayxh52bf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Comprehensive EDA was conducted to understand data distributions, identify outliers, assess correlations, and explore relationships between predictors and target variables.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ush7301x9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Steps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Numerical Analysis: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statistics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.describe()</w:t>
      </w:r>
      <w:r w:rsidDel="00000000" w:rsidR="00000000" w:rsidRPr="00000000">
        <w:rPr>
          <w:rtl w:val="0"/>
        </w:rPr>
        <w:t xml:space="preserve"> for mean, median, skewness, and standard deviation.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Detection of outliers through boxplots and z-score thresholds.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Correlation heatmap to understand feature interdependencies.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Categorical Analysis: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 counts and visualization of categorical feature distributions.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Encoding strategy determined based on cardinality and relevance.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Value Treatment: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Imputation for numerical features using median strategy.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 imputation or “Unknown” category for categorical fields.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of0x37lok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Insights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Certain numerical variables displayed right skewness — addressed through log transformations.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categorical variables like </w:t>
      </w:r>
      <w:r w:rsidDel="00000000" w:rsidR="00000000" w:rsidRPr="00000000">
        <w:rPr>
          <w:i w:val="1"/>
          <w:rtl w:val="0"/>
        </w:rPr>
        <w:t xml:space="preserve">Issue 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showed strong associations with resolution time.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values were mostly concentrated in description-based or optional fields.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0jfomqfd5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Text Feature Engineering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 features were extracted from customer issue descriptions to improve predictive power.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6nsau4te9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Techniques Applied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4.784688995215"/>
        <w:gridCol w:w="1841.1483253588517"/>
        <w:gridCol w:w="5394.066985645933"/>
        <w:tblGridChange w:id="0">
          <w:tblGrid>
            <w:gridCol w:w="2124.784688995215"/>
            <w:gridCol w:w="1841.1483253588517"/>
            <w:gridCol w:w="5394.0669856459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TF–IDF Vectors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TfidfVectorizer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Captured key terms weighted by frequency and document importance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Word Count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CountVectorizer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Represented frequency of words and tokens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Sentiment Scores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TextBlob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Extracted sentiment polarity and subjectivity values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 Length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Custom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Added average word length, total words, and sentence count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tq1m2dl4u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engineered features enhanced model interpretability and significantly improved performance metrics.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0bz9ycb0k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frw9eais4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Model Development and Evaluation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Initially, a </w:t>
      </w:r>
      <w:r w:rsidDel="00000000" w:rsidR="00000000" w:rsidRPr="00000000">
        <w:rPr>
          <w:b w:val="1"/>
          <w:rtl w:val="0"/>
        </w:rPr>
        <w:t xml:space="preserve">model benchmarking</w:t>
      </w:r>
      <w:r w:rsidDel="00000000" w:rsidR="00000000" w:rsidRPr="00000000">
        <w:rPr>
          <w:rtl w:val="0"/>
        </w:rPr>
        <w:t xml:space="preserve"> phase was performed using the </w:t>
      </w:r>
      <w:r w:rsidDel="00000000" w:rsidR="00000000" w:rsidRPr="00000000">
        <w:rPr>
          <w:b w:val="1"/>
          <w:rtl w:val="0"/>
        </w:rPr>
        <w:t xml:space="preserve">LazyPredict</w:t>
      </w:r>
      <w:r w:rsidDel="00000000" w:rsidR="00000000" w:rsidRPr="00000000">
        <w:rPr>
          <w:rtl w:val="0"/>
        </w:rPr>
        <w:t xml:space="preserve"> library to rapidly evaluate multiple classical machine learning algorithms on the dataset.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provided a comparative overview of baseline performance across various regressors without manual tuning.From the LazyPredict results, the </w:t>
      </w:r>
      <w:r w:rsidDel="00000000" w:rsidR="00000000" w:rsidRPr="00000000">
        <w:rPr>
          <w:b w:val="1"/>
          <w:rtl w:val="0"/>
        </w:rPr>
        <w:t xml:space="preserve">top three models</w:t>
      </w:r>
      <w:r w:rsidDel="00000000" w:rsidR="00000000" w:rsidRPr="00000000">
        <w:rPr>
          <w:rtl w:val="0"/>
        </w:rPr>
        <w:t xml:space="preserve"> were identified based on </w:t>
      </w:r>
      <w:r w:rsidDel="00000000" w:rsidR="00000000" w:rsidRPr="00000000">
        <w:rPr>
          <w:i w:val="1"/>
          <w:rtl w:val="0"/>
        </w:rPr>
        <w:t xml:space="preserve">R²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RMSE</w:t>
      </w:r>
      <w:r w:rsidDel="00000000" w:rsidR="00000000" w:rsidRPr="00000000">
        <w:rPr>
          <w:rtl w:val="0"/>
        </w:rPr>
        <w:t xml:space="preserve"> scores: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Ridge Regression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Gradient Boosting Regressor (GBR)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XGBoost Regressor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selected models were then </w:t>
      </w:r>
      <w:r w:rsidDel="00000000" w:rsidR="00000000" w:rsidRPr="00000000">
        <w:rPr>
          <w:b w:val="1"/>
          <w:rtl w:val="0"/>
        </w:rPr>
        <w:t xml:space="preserve">fine-tuned and optimized</w:t>
      </w:r>
      <w:r w:rsidDel="00000000" w:rsidR="00000000" w:rsidRPr="00000000">
        <w:rPr>
          <w:rtl w:val="0"/>
        </w:rPr>
        <w:t xml:space="preserve"> using dedicated pipelines, incorporating feature scaling, cross-validation, and hyperparameter tuning.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xl0irr1ut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Cross-Validation and Hyperparameter Tuning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5-Fold Cross-Validation</w:t>
      </w:r>
      <w:r w:rsidDel="00000000" w:rsidR="00000000" w:rsidRPr="00000000">
        <w:rPr>
          <w:rtl w:val="0"/>
        </w:rPr>
        <w:t xml:space="preserve"> was applied to ensure model generalization.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RandomizedSearchCV</w:t>
      </w:r>
      <w:r w:rsidDel="00000000" w:rsidR="00000000" w:rsidRPr="00000000">
        <w:rPr>
          <w:rtl w:val="0"/>
        </w:rPr>
        <w:t xml:space="preserve"> was utilized for efficient hyperparameter optimization across parameter grids.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Models were evaluated using standard regression metrics — </w:t>
      </w:r>
      <w:r w:rsidDel="00000000" w:rsidR="00000000" w:rsidRPr="00000000">
        <w:rPr>
          <w:i w:val="1"/>
          <w:rtl w:val="0"/>
        </w:rPr>
        <w:t xml:space="preserve">MAE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RMSE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R²</w:t>
      </w:r>
      <w:r w:rsidDel="00000000" w:rsidR="00000000" w:rsidRPr="00000000">
        <w:rPr>
          <w:rtl w:val="0"/>
        </w:rPr>
        <w:t xml:space="preserve"> — on both training and validation datasets.</w:t>
        <w:br w:type="textWrapping"/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fzo6e38bd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Model Comparison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i07qpq7pz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Metrics</w:t>
      </w:r>
    </w:p>
    <w:tbl>
      <w:tblPr>
        <w:tblStyle w:val="Table2"/>
        <w:tblW w:w="6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960"/>
        <w:gridCol w:w="1095"/>
        <w:gridCol w:w="1080"/>
        <w:tblGridChange w:id="0">
          <w:tblGrid>
            <w:gridCol w:w="3015"/>
            <w:gridCol w:w="960"/>
            <w:gridCol w:w="1095"/>
            <w:gridCol w:w="10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RMSE 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R² 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Ridge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0.223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0.742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Gradient Boosting Regressor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0.227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0.732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XGBoost Regressor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0.230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0.726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Best Performing Model:</w:t>
      </w:r>
      <w:r w:rsidDel="00000000" w:rsidR="00000000" w:rsidRPr="00000000">
        <w:rPr>
          <w:rtl w:val="0"/>
        </w:rPr>
        <w:t xml:space="preserve"> Ridge Regressor</w:t>
        <w:br w:type="textWrapping"/>
        <w:t xml:space="preserve"> It achieved the lowest RMSE, and the highest R², indicating strong predictive capability.</w:t>
      </w:r>
    </w:p>
    <w:p w:rsidR="00000000" w:rsidDel="00000000" w:rsidP="00000000" w:rsidRDefault="00000000" w:rsidRPr="00000000" w14:paraId="0000004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ind w:left="-720" w:firstLine="0"/>
        <w:rPr>
          <w:b w:val="1"/>
          <w:sz w:val="34"/>
          <w:szCs w:val="34"/>
        </w:rPr>
      </w:pPr>
      <w:bookmarkStart w:colFirst="0" w:colLast="0" w:name="_ss71gy8u9evp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Feature Importance and Interpretability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 importance was analyzed for both </w:t>
      </w:r>
      <w:r w:rsidDel="00000000" w:rsidR="00000000" w:rsidRPr="00000000">
        <w:rPr>
          <w:b w:val="1"/>
          <w:rtl w:val="0"/>
        </w:rPr>
        <w:t xml:space="preserve">Ridge Regression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Gradient Boosting Regressor</w:t>
      </w:r>
      <w:r w:rsidDel="00000000" w:rsidR="00000000" w:rsidRPr="00000000">
        <w:rPr>
          <w:rtl w:val="0"/>
        </w:rPr>
        <w:t xml:space="preserve"> to identify the key drivers of resolution time.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8o1s9rowyh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360" w:hanging="630"/>
        <w:rPr>
          <w:b w:val="1"/>
          <w:color w:val="000000"/>
          <w:sz w:val="26"/>
          <w:szCs w:val="26"/>
        </w:rPr>
      </w:pPr>
      <w:bookmarkStart w:colFirst="0" w:colLast="0" w:name="_3x5966gbp77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🏆 Top 5 Features — Ridge Regression</w:t>
      </w:r>
    </w:p>
    <w:tbl>
      <w:tblPr>
        <w:tblStyle w:val="Table3"/>
        <w:tblW w:w="10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3135"/>
        <w:gridCol w:w="1785"/>
        <w:gridCol w:w="4215"/>
        <w:tblGridChange w:id="0">
          <w:tblGrid>
            <w:gridCol w:w="1395"/>
            <w:gridCol w:w="3135"/>
            <w:gridCol w:w="1785"/>
            <w:gridCol w:w="42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Interpretation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product_category_Electronics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Electronics-related issues tend to require longer handling time.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Lower satisfaction scores correlate with increased resolution time.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query_type_Product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Queries seeking detailed product information take moderately longer.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product_category_Home &amp; Garden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Home &amp; Garden queries show medium resolution duration.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customer_tier_Gold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Gold-tier customers often raise more detailed or complex issues.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ind w:left="90" w:hanging="360"/>
        <w:rPr>
          <w:b w:val="1"/>
          <w:color w:val="000000"/>
          <w:sz w:val="26"/>
          <w:szCs w:val="26"/>
        </w:rPr>
      </w:pPr>
      <w:bookmarkStart w:colFirst="0" w:colLast="0" w:name="_k9tbtjiu4k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left="90" w:hanging="360"/>
        <w:rPr>
          <w:b w:val="1"/>
          <w:color w:val="000000"/>
          <w:sz w:val="26"/>
          <w:szCs w:val="26"/>
        </w:rPr>
      </w:pPr>
      <w:bookmarkStart w:colFirst="0" w:colLast="0" w:name="_ryxwkaivihn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90" w:hanging="360"/>
        <w:rPr>
          <w:b w:val="1"/>
          <w:color w:val="000000"/>
          <w:sz w:val="26"/>
          <w:szCs w:val="26"/>
        </w:rPr>
      </w:pPr>
      <w:bookmarkStart w:colFirst="0" w:colLast="0" w:name="_kqguxifizoj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ind w:left="90" w:hanging="360"/>
        <w:rPr>
          <w:b w:val="1"/>
          <w:color w:val="000000"/>
          <w:sz w:val="26"/>
          <w:szCs w:val="26"/>
        </w:rPr>
      </w:pPr>
      <w:bookmarkStart w:colFirst="0" w:colLast="0" w:name="_nbhabnrys73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🏆 Top 5 Features — Gradient Boosting Regressor</w:t>
      </w:r>
    </w:p>
    <w:tbl>
      <w:tblPr>
        <w:tblStyle w:val="Table4"/>
        <w:tblW w:w="10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3015"/>
        <w:gridCol w:w="2010"/>
        <w:gridCol w:w="4245"/>
        <w:tblGridChange w:id="0">
          <w:tblGrid>
            <w:gridCol w:w="1245"/>
            <w:gridCol w:w="3015"/>
            <w:gridCol w:w="2010"/>
            <w:gridCol w:w="42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Interpretation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Strongest driver; dissatisfaction leads to extended resolution periods.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query_type_Product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Product-related queries dominate issue categories.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query_type_Technical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Technical queries remain among the most time-consuming.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product_category_Electronics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Electronics consistently appear as high-resolution-time tickets.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customer_tier_Gold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Gold-tier cases tend to be detailed and require escalation.</w:t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ind w:left="-720" w:firstLine="0"/>
        <w:rPr>
          <w:b w:val="1"/>
          <w:sz w:val="34"/>
          <w:szCs w:val="34"/>
        </w:rPr>
      </w:pPr>
      <w:bookmarkStart w:colFirst="0" w:colLast="0" w:name="_1ggcotfcfkh0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6. Business Recommendations (Updated)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240" w:lineRule="auto"/>
        <w:ind w:left="90" w:right="-1260" w:hanging="360"/>
      </w:pPr>
      <w:r w:rsidDel="00000000" w:rsidR="00000000" w:rsidRPr="00000000">
        <w:rPr>
          <w:b w:val="1"/>
          <w:rtl w:val="0"/>
        </w:rPr>
        <w:t xml:space="preserve">Enhance Satisfaction Monitoring:</w:t>
        <w:br w:type="textWrapping"/>
      </w:r>
      <w:r w:rsidDel="00000000" w:rsidR="00000000" w:rsidRPr="00000000">
        <w:rPr>
          <w:rtl w:val="0"/>
        </w:rPr>
        <w:t xml:space="preserve"> The strong impact of </w:t>
      </w:r>
      <w:r w:rsidDel="00000000" w:rsidR="00000000" w:rsidRPr="00000000">
        <w:rPr>
          <w:i w:val="1"/>
          <w:rtl w:val="0"/>
        </w:rPr>
        <w:t xml:space="preserve">customer_satisfaction</w:t>
      </w:r>
      <w:r w:rsidDel="00000000" w:rsidR="00000000" w:rsidRPr="00000000">
        <w:rPr>
          <w:rtl w:val="0"/>
        </w:rPr>
        <w:t xml:space="preserve"> suggests integrating real-time satisfaction tracking to proactively identify at-risk cases.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90" w:right="-1260" w:hanging="360"/>
      </w:pPr>
      <w:r w:rsidDel="00000000" w:rsidR="00000000" w:rsidRPr="00000000">
        <w:rPr>
          <w:b w:val="1"/>
          <w:rtl w:val="0"/>
        </w:rPr>
        <w:t xml:space="preserve">Dedicated Product Specialists:</w:t>
        <w:br w:type="textWrapping"/>
      </w:r>
      <w:r w:rsidDel="00000000" w:rsidR="00000000" w:rsidRPr="00000000">
        <w:rPr>
          <w:rtl w:val="0"/>
        </w:rPr>
        <w:t xml:space="preserve"> Product information and technical queries account for a significant share of delay; assigning specialized agents to these categories can improve efficiency.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90" w:right="-1260" w:hanging="360"/>
      </w:pPr>
      <w:r w:rsidDel="00000000" w:rsidR="00000000" w:rsidRPr="00000000">
        <w:rPr>
          <w:b w:val="1"/>
          <w:rtl w:val="0"/>
        </w:rPr>
        <w:t xml:space="preserve">Category-Based Process Optimization:</w:t>
        <w:br w:type="textWrapping"/>
      </w:r>
      <w:r w:rsidDel="00000000" w:rsidR="00000000" w:rsidRPr="00000000">
        <w:rPr>
          <w:rtl w:val="0"/>
        </w:rPr>
        <w:t xml:space="preserve"> Electronics and Home &amp; Garden categories repeatedly appear in top features — these should be prioritized for workflow automation or improved documentation.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90" w:right="-1260" w:hanging="360"/>
      </w:pPr>
      <w:r w:rsidDel="00000000" w:rsidR="00000000" w:rsidRPr="00000000">
        <w:rPr>
          <w:b w:val="1"/>
          <w:rtl w:val="0"/>
        </w:rPr>
        <w:t xml:space="preserve">Tier-Based Prioritization:</w:t>
        <w:br w:type="textWrapping"/>
      </w:r>
      <w:r w:rsidDel="00000000" w:rsidR="00000000" w:rsidRPr="00000000">
        <w:rPr>
          <w:rtl w:val="0"/>
        </w:rPr>
        <w:t xml:space="preserve"> Gold and Platinum customers, while valuable, contribute to longer resolution times — improved prioritization and SLA adherence tracking are recommended.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240" w:before="0" w:beforeAutospacing="0" w:lineRule="auto"/>
        <w:ind w:left="90" w:hanging="360"/>
      </w:pPr>
      <w:r w:rsidDel="00000000" w:rsidR="00000000" w:rsidRPr="00000000">
        <w:rPr>
          <w:b w:val="1"/>
          <w:rtl w:val="0"/>
        </w:rPr>
        <w:t xml:space="preserve">Sentiment &amp; Text Analytics Integration:</w:t>
        <w:br w:type="textWrapping"/>
      </w:r>
      <w:r w:rsidDel="00000000" w:rsidR="00000000" w:rsidRPr="00000000">
        <w:rPr>
          <w:rtl w:val="0"/>
        </w:rPr>
        <w:t xml:space="preserve"> Textual patterns (e.g., “keeps,” “weeks”) signal recurring issues; use NLP monitoring to detect and resolve trending concerns faster.</w:t>
        <w:br w:type="textWrapping"/>
        <w:br w:type="textWrapping"/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ind w:left="-720" w:firstLine="0"/>
        <w:rPr>
          <w:b w:val="1"/>
          <w:sz w:val="34"/>
          <w:szCs w:val="34"/>
        </w:rPr>
      </w:pPr>
      <w:bookmarkStart w:colFirst="0" w:colLast="0" w:name="_rsus3c5gpr9s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7. Deliverables Summary</w:t>
      </w:r>
    </w:p>
    <w:tbl>
      <w:tblPr>
        <w:tblStyle w:val="Table5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8.612440191387"/>
        <w:gridCol w:w="4483.444976076555"/>
        <w:gridCol w:w="1467.9425837320573"/>
        <w:tblGridChange w:id="0">
          <w:tblGrid>
            <w:gridCol w:w="3408.612440191387"/>
            <w:gridCol w:w="4483.444976076555"/>
            <w:gridCol w:w="1467.94258373205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Engineering Pipeline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TF-IDF + Sentiment + Structured Features 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ColumnTransformer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Completed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Comparison (MAE, RMSE, R²)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Evaluation across Ridge, GBR, XGBoost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Completed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Cross-Validation + Hyperparameter Tuning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5-fold CV with RandomizedSearchCV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Completed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Importance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Extracted from tree-based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Completed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Recommendations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Actionable insights from model interpretability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Completed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ind w:left="-720" w:firstLine="0"/>
        <w:rPr>
          <w:b w:val="1"/>
          <w:sz w:val="34"/>
          <w:szCs w:val="34"/>
        </w:rPr>
      </w:pPr>
      <w:bookmarkStart w:colFirst="0" w:colLast="0" w:name="_n3k83s9hllih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8. Key Takeaways: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numPr>
          <w:ilvl w:val="0"/>
          <w:numId w:val="6"/>
        </w:numPr>
        <w:spacing w:after="0" w:afterAutospacing="0" w:before="240" w:line="240" w:lineRule="auto"/>
        <w:ind w:left="180" w:right="600" w:hanging="360"/>
        <w:rPr>
          <w:sz w:val="22"/>
          <w:szCs w:val="22"/>
        </w:rPr>
      </w:pPr>
      <w:bookmarkStart w:colFirst="0" w:colLast="0" w:name="_n3k83s9hllih" w:id="23"/>
      <w:bookmarkEnd w:id="23"/>
      <w:r w:rsidDel="00000000" w:rsidR="00000000" w:rsidRPr="00000000">
        <w:rPr>
          <w:sz w:val="22"/>
          <w:szCs w:val="22"/>
          <w:rtl w:val="0"/>
        </w:rPr>
        <w:t xml:space="preserve">Ridge model outperformed ensemble models slightly, indicating linear relationships dominate the dataset.</w:t>
        <w:br w:type="textWrapping"/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numPr>
          <w:ilvl w:val="0"/>
          <w:numId w:val="6"/>
        </w:numPr>
        <w:spacing w:after="240" w:before="0" w:beforeAutospacing="0" w:line="240" w:lineRule="auto"/>
        <w:ind w:left="180" w:right="600" w:hanging="360"/>
        <w:rPr>
          <w:sz w:val="24"/>
          <w:szCs w:val="24"/>
        </w:rPr>
      </w:pPr>
      <w:bookmarkStart w:colFirst="0" w:colLast="0" w:name="_1qqzptghfei5" w:id="24"/>
      <w:bookmarkEnd w:id="24"/>
      <w:r w:rsidDel="00000000" w:rsidR="00000000" w:rsidRPr="00000000">
        <w:rPr>
          <w:sz w:val="22"/>
          <w:szCs w:val="22"/>
          <w:rtl w:val="0"/>
        </w:rPr>
        <w:t xml:space="preserve">Customer satisfaction, product category, and query type are key predictors of resolution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ind w:left="-720" w:firstLine="0"/>
        <w:rPr>
          <w:b w:val="1"/>
          <w:sz w:val="34"/>
          <w:szCs w:val="34"/>
        </w:rPr>
      </w:pPr>
      <w:bookmarkStart w:colFirst="0" w:colLast="0" w:name="_i34ifmkky3l4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developed classical ML pipeline effectively predicts ticket resolution time by leveraging both structured and unstructured data.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Ridge model</w:t>
      </w:r>
      <w:r w:rsidDel="00000000" w:rsidR="00000000" w:rsidRPr="00000000">
        <w:rPr>
          <w:rtl w:val="0"/>
        </w:rPr>
        <w:t xml:space="preserve"> achieved the best performance, highlighting the importance of text-derived sentiment and categorical issue features.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model provides actionable insights that can help organizations </w:t>
      </w:r>
      <w:r w:rsidDel="00000000" w:rsidR="00000000" w:rsidRPr="00000000">
        <w:rPr>
          <w:b w:val="1"/>
          <w:rtl w:val="0"/>
        </w:rPr>
        <w:t xml:space="preserve">prioritize, allocate, and manage customer support resources efficiently.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