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3D"/>
          <w:sz w:val="40"/>
        </w:rPr>
        <w:t>FlagFit Pro — Internal Appendix</w:t>
      </w:r>
    </w:p>
    <w:p>
      <w:r>
        <w:t>Code citations + open issues for the coach guide. NOT for the coach copy.</w:t>
      </w:r>
    </w:p>
    <w:p>
      <w:pPr>
        <w:pStyle w:val="Heading2"/>
      </w:pPr>
      <w:r>
        <w:t>A · Source-of-truth citations (key claims)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in the code</w:t>
            </w:r>
          </w:p>
        </w:tc>
      </w:tr>
      <w:tr>
        <w:tc>
          <w:tcPr>
            <w:tcW w:type="dxa" w:w="4320"/>
          </w:tcPr>
          <w:p>
            <w:r>
              <w:t>Precedence: competition → taper-prime ≤24h → ACWR&gt;1.5 rest → readiness&lt;55 recovery → practice → phase → season</w:t>
            </w:r>
          </w:p>
        </w:tc>
        <w:tc>
          <w:tcPr>
            <w:tcW w:type="dxa" w:w="4320"/>
          </w:tcPr>
          <w:p>
            <w:r>
              <w:t>periodization.service.ts decideBasePrescription()</w:t>
            </w:r>
          </w:p>
        </w:tc>
      </w:tr>
      <w:tr>
        <w:tc>
          <w:tcPr>
            <w:tcW w:type="dxa" w:w="4320"/>
          </w:tcPr>
          <w:p>
            <w:r>
              <w:t>Practice modifier table (RPE 7/90, 6/60, 5/45, recovery 3/30)</w:t>
            </w:r>
          </w:p>
        </w:tc>
        <w:tc>
          <w:tcPr>
            <w:tcW w:type="dxa" w:w="4320"/>
          </w:tcPr>
          <w:p>
            <w:r>
              <w:t>periodization.service.ts PRACTICE_PHASE_MODIFIERS</w:t>
            </w:r>
          </w:p>
        </w:tc>
      </w:tr>
      <w:tr>
        <w:tc>
          <w:tcPr>
            <w:tcW w:type="dxa" w:w="4320"/>
          </w:tcPr>
          <w:p>
            <w:r>
              <w:t>Taper windows + individual taper targets</w:t>
            </w:r>
          </w:p>
        </w:tc>
        <w:tc>
          <w:tcPr>
            <w:tcW w:type="dxa" w:w="4320"/>
          </w:tcPr>
          <w:p>
            <w:r>
              <w:t>periodization.service.ts TAPER_CONFIG</w:t>
            </w:r>
          </w:p>
        </w:tc>
      </w:tr>
      <w:tr>
        <w:tc>
          <w:tcPr>
            <w:tcW w:type="dxa" w:w="4320"/>
          </w:tcPr>
          <w:p>
            <w:r>
              <w:t>In-season vs build session targets (M1)</w:t>
            </w:r>
          </w:p>
        </w:tc>
        <w:tc>
          <w:tcPr>
            <w:tcW w:type="dxa" w:w="4320"/>
          </w:tcPr>
          <w:p>
            <w:r>
              <w:t>periodization.service.ts baseTargets / BUILD_TARGET_OVERRIDES</w:t>
            </w:r>
          </w:p>
        </w:tc>
      </w:tr>
      <w:tr>
        <w:tc>
          <w:tcPr>
            <w:tcW w:type="dxa" w:w="4320"/>
          </w:tcPr>
          <w:p>
            <w:r>
              <w:t>ACWR EWMA, uncoupled 7d/21d, chronic floor 50, &lt;14d low-confidence</w:t>
            </w:r>
          </w:p>
        </w:tc>
        <w:tc>
          <w:tcPr>
            <w:tcW w:type="dxa" w:w="4320"/>
          </w:tcPr>
          <w:p>
            <w:r>
              <w:t>netlify/functions/utils/acwr.js</w:t>
            </w:r>
          </w:p>
        </w:tc>
      </w:tr>
      <w:tr>
        <w:tc>
          <w:tcPr>
            <w:tcW w:type="dxa" w:w="4320"/>
          </w:tcPr>
          <w:p>
            <w:r>
              <w:t>Readiness weights .35/.30/.20/.15, bands 55/75, travel penalty 2/4/8</w:t>
            </w:r>
          </w:p>
        </w:tc>
        <w:tc>
          <w:tcPr>
            <w:tcW w:type="dxa" w:w="4320"/>
          </w:tcPr>
          <w:p>
            <w:r>
              <w:t>netlify/functions/calc-readiness.js</w:t>
            </w:r>
          </w:p>
        </w:tc>
      </w:tr>
      <w:tr>
        <w:tc>
          <w:tcPr>
            <w:tcW w:type="dxa" w:w="4320"/>
          </w:tcPr>
          <w:p>
            <w:r>
              <w:t>Game load by format 300/350/450 AU</w:t>
            </w:r>
          </w:p>
        </w:tc>
        <w:tc>
          <w:tcPr>
            <w:tcW w:type="dxa" w:w="4320"/>
          </w:tcPr>
          <w:p>
            <w:r>
              <w:t>calc-readiness.js GAME_LOAD_AU; position-volume.config.ts GAME_FORMATS</w:t>
            </w:r>
          </w:p>
        </w:tc>
      </w:tr>
      <w:tr>
        <w:tc>
          <w:tcPr>
            <w:tcW w:type="dxa" w:w="4320"/>
          </w:tcPr>
          <w:p>
            <w:r>
              <w:t>Nutrition CARB_PER_KG / protein 1.8 / fluid 35ml/kg + bonuses</w:t>
            </w:r>
          </w:p>
        </w:tc>
        <w:tc>
          <w:tcPr>
            <w:tcW w:type="dxa" w:w="4320"/>
          </w:tcPr>
          <w:p>
            <w:r>
              <w:t>periodization.service.ts nutritionFor()</w:t>
            </w:r>
          </w:p>
        </w:tc>
      </w:tr>
      <w:tr>
        <w:tc>
          <w:tcPr>
            <w:tcW w:type="dxa" w:w="4320"/>
          </w:tcPr>
          <w:p>
            <w:r>
              <w:t>CNS recovery 48/60/72 by age</w:t>
            </w:r>
          </w:p>
        </w:tc>
        <w:tc>
          <w:tcPr>
            <w:tcW w:type="dxa" w:w="4320"/>
          </w:tcPr>
          <w:p>
            <w:r>
              <w:t>periodization.service.ts cnsRecoveryHoursForAge()</w:t>
            </w:r>
          </w:p>
        </w:tc>
      </w:tr>
      <w:tr>
        <w:tc>
          <w:tcPr>
            <w:tcW w:type="dxa" w:w="4320"/>
          </w:tcPr>
          <w:p>
            <w:r>
              <w:t>Injury caps (severe 3/30/0, moderate 3/≤40/≤3, minor ≤6)</w:t>
            </w:r>
          </w:p>
        </w:tc>
        <w:tc>
          <w:tcPr>
            <w:tcW w:type="dxa" w:w="4320"/>
          </w:tcPr>
          <w:p>
            <w:r>
              <w:t>periodization.service.ts INJURY_RESPONSE</w:t>
            </w:r>
          </w:p>
        </w:tc>
      </w:tr>
      <w:tr>
        <w:tc>
          <w:tcPr>
            <w:tcW w:type="dxa" w:w="4320"/>
          </w:tcPr>
          <w:p>
            <w:r>
              <w:t>Position volumes + emphasis</w:t>
            </w:r>
          </w:p>
        </w:tc>
        <w:tc>
          <w:tcPr>
            <w:tcW w:type="dxa" w:w="4320"/>
          </w:tcPr>
          <w:p>
            <w:r>
              <w:t>position-volume.config.ts; withPositionEmphasis()</w:t>
            </w:r>
          </w:p>
        </w:tc>
      </w:tr>
      <w:tr>
        <w:tc>
          <w:tcPr>
            <w:tcW w:type="dxa" w:w="4320"/>
          </w:tcPr>
          <w:p>
            <w:r>
              <w:t>Compose: daily-protocol realizes the intent</w:t>
            </w:r>
          </w:p>
        </w:tc>
        <w:tc>
          <w:tcPr>
            <w:tcW w:type="dxa" w:w="4320"/>
          </w:tcPr>
          <w:p>
            <w:r>
              <w:t>daily-protocol.js mapIntentToSession/positionFlagsFor; ProtocolService</w:t>
            </w:r>
          </w:p>
        </w:tc>
      </w:tr>
    </w:tbl>
    <w:p>
      <w:pPr>
        <w:pStyle w:val="Heading2"/>
      </w:pPr>
      <w:r>
        <w:t>B · Open issues (G4 — flagged, not papered over)</w:t>
      </w:r>
    </w:p>
    <w:p>
      <w:pPr>
        <w:pStyle w:val="ListBullet"/>
      </w:pPr>
      <w:r>
        <w:t>DEPLOY GAP: nearly all recent engine behaviour is committed locally but NOT deployed; the live site is behind. This is the single biggest 'docs vs reality' risk.</w:t>
      </w:r>
    </w:p>
    <w:p>
      <w:pPr>
        <w:pStyle w:val="ListBullet"/>
      </w:pPr>
      <w:r>
        <w:t>Position picker lives on Edit-profile, not Settings (discoverability gap); a stored position can sit on a default 'wr_db' if never set.</w:t>
      </w:r>
    </w:p>
    <w:p>
      <w:pPr>
        <w:pStyle w:val="ListBullet"/>
      </w:pPr>
      <w:r>
        <w:t>Compose exercise wiring (Training 'Today's exercises') is built but NOT end-to-end verified against a live /generate call.</w:t>
      </w:r>
    </w:p>
    <w:p>
      <w:pPr>
        <w:pStyle w:val="ListBullet"/>
      </w:pPr>
      <w:r>
        <w:t>Dead/write-only fields that look authoritative: preferred_training_days, flag_practice_schedule, max_sessions_per_week, daily_routine, current_limitations, secondary_position, verification_confidence.</w:t>
      </w:r>
    </w:p>
    <w:p>
      <w:pPr>
        <w:pStyle w:val="ListBullet"/>
      </w:pPr>
      <w:r>
        <w:t>Hydration is logged but does not feed readiness.</w:t>
      </w:r>
    </w:p>
    <w:p>
      <w:pPr>
        <w:pStyle w:val="ListBullet"/>
      </w:pPr>
      <w:r>
        <w:t>ACWR is absent on daily-protocol's own (legacy) path — only relevant where the compose intent is not passed.</w:t>
      </w:r>
    </w:p>
    <w:p>
      <w:pPr>
        <w:pStyle w:val="ListBullet"/>
      </w:pPr>
      <w:r>
        <w:t>Class 1 full pipeline (resolveDayType→applyModifiers) and Class 2 schema cleanup remain (migrations authored as files, not executed).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7A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7A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