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267" w:rsidRDefault="008D6267" w:rsidP="008D6267">
      <w:pPr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ФИО студента:____________________________________</w:t>
      </w:r>
    </w:p>
    <w:p w:rsidR="008D6267" w:rsidRPr="008D6267" w:rsidRDefault="008D6267" w:rsidP="008D6267">
      <w:pPr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6267">
        <w:rPr>
          <w:rFonts w:ascii="Times New Roman" w:hAnsi="Times New Roman" w:cs="Times New Roman"/>
          <w:b/>
          <w:bCs/>
          <w:sz w:val="40"/>
          <w:szCs w:val="40"/>
        </w:rPr>
        <w:t>Тест: Учет основных средств.</w:t>
      </w: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Что отличает основные средства от иного имущества предприятия, например, запасов?</w:t>
      </w:r>
    </w:p>
    <w:tbl>
      <w:tblPr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0203"/>
      </w:tblGrid>
      <w:tr w:rsidR="008D6267" w:rsidRPr="008D6267" w:rsidTr="008D6267">
        <w:trPr>
          <w:trHeight w:val="422"/>
        </w:trPr>
        <w:tc>
          <w:tcPr>
            <w:tcW w:w="431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Запасы переносят свою стоимость на изготовленную при их участии продукцию (работы, услуги), а основные средства - нет</w:t>
            </w:r>
          </w:p>
        </w:tc>
      </w:tr>
      <w:tr w:rsidR="008D6267" w:rsidRPr="008D6267" w:rsidTr="008D6267">
        <w:trPr>
          <w:trHeight w:val="224"/>
        </w:trPr>
        <w:tc>
          <w:tcPr>
            <w:tcW w:w="431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В отличие от запасов, основные средства участвуют во многих производственных циклах</w:t>
            </w:r>
          </w:p>
        </w:tc>
      </w:tr>
      <w:tr w:rsidR="008D6267" w:rsidRPr="008D6267" w:rsidTr="008D6267">
        <w:trPr>
          <w:trHeight w:val="422"/>
        </w:trPr>
        <w:tc>
          <w:tcPr>
            <w:tcW w:w="431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Основные средства сохраняют свою натуральную форму на протяжении длительного периода, а запасы ее теряют, изменяясь в процессе производства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Отметьте обязательные критерии при признании объекта в качестве основных средств.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182"/>
      </w:tblGrid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Объект предназначен для производства продукции, выполнения работ или оказания услуг, для сдачи в аренду или для целей управления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Объект будет использоваться больше года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Первоначальная стоимость объекта превышает 40000 руб.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Эксплуатация объекта принесет предприятию экономические выгоды в той или иной форме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Последующая перепродажа объекта не планируется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Какие объекты не отвечают критериям признания основных средств?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182"/>
      </w:tblGrid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Здание производственного цеха, полностью готовое к эксплуатации, но пока фактически не используемое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Земельный участок, приобретенный для перепродажи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Лифт, установленный в строящемся торговом центре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Квартиры, приобретенные для сдачи в аренду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отопления, оборудованная в арендованном торгово-складском помещении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В соответствии с санитарными правилами вокруг вредных производств устанавливается санитарно-защитная зона, позволяющая снизить негативное воздействие промышленных выбросов на окружающую среду. В процессе выполнения мероприятий по созданию защитного барьера по периметру территории химического завода было высажено 200 тополей на сумму 160 000 руб. Учетной политикой завода в отношении признания основных средств установлен стоимостной критерий, равный 100000 руб. Каким образом в бухгалтерском учете следует учесть указанные затраты?</w:t>
      </w: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182"/>
      </w:tblGrid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Списать единовременно на расходы периода – не выполняется один из основных критериев признания основных средств – деревья не предназначены для использования в производстве или управлении организацией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Списать единовременно на расходы периода – деревья соответствуют основным условиям признания основных средств, но не удовлетворяют дополнительному стоимостному критерию, так как цена каждого дерева меньше 40000 руб.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Включить в первоначальную стоимость основного средства, представляющего собой один инвентарный объект – многолетние насаждения, и впоследствии списывать через амортизацию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182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Всю сумму отнести на расходы будущих периодов с последующим пропорциональным списанием в течение срока жизни растений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В соответствии с ПБУ 6/01 основное средство принимается к учету по первоначальной стоимости. Какие утверждения в отношении первоначальной стоимости являются верными?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318"/>
      </w:tblGrid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Первоначальная стоимость объекта равна сумме уплаченных денежных средств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Независимо от способа поступления основного средства, его первоначальная стоимость равна сумме затрат организации на приобретение и подготовку объекта к использованию по назначению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Основное средство будет иметь первоначальную стоимость даже тогда, когда организация не понесла никаких затрат на его приобретение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Default="008D6267" w:rsidP="008D6267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33"/>
          <w:sz w:val="24"/>
          <w:szCs w:val="24"/>
        </w:rPr>
      </w:pPr>
      <w:r w:rsidRPr="008D6267">
        <w:rPr>
          <w:rFonts w:ascii="Times New Roman" w:hAnsi="Times New Roman" w:cs="Times New Roman"/>
          <w:color w:val="000033"/>
          <w:sz w:val="24"/>
          <w:szCs w:val="24"/>
        </w:rPr>
        <w:t>Сельскохозяйственная компания меняет по бартеру партию зерна стоимостью 1000000 руб. на трактор. За деньги продавец готов реализовать трактор за 950000 руб. На рынке трактор с аналогичными техническими характеристиками продается за 1050000 руб. По какой стоимости трактор принимается к учету?</w:t>
      </w:r>
    </w:p>
    <w:p w:rsidR="00034379" w:rsidRPr="008D6267" w:rsidRDefault="00034379" w:rsidP="00034379">
      <w:pPr>
        <w:pStyle w:val="a4"/>
        <w:rPr>
          <w:rFonts w:ascii="Times New Roman" w:hAnsi="Times New Roman" w:cs="Times New Roman"/>
          <w:color w:val="000033"/>
          <w:sz w:val="24"/>
          <w:szCs w:val="24"/>
        </w:rPr>
      </w:pPr>
      <w:r>
        <w:rPr>
          <w:rFonts w:ascii="Times New Roman" w:hAnsi="Times New Roman" w:cs="Times New Roman"/>
          <w:color w:val="000033"/>
          <w:sz w:val="24"/>
          <w:szCs w:val="24"/>
        </w:rPr>
        <w:t>Ответ:_________</w:t>
      </w:r>
      <w:bookmarkStart w:id="0" w:name="_GoBack"/>
      <w:bookmarkEnd w:id="0"/>
    </w:p>
    <w:p w:rsidR="008D6267" w:rsidRPr="008D6267" w:rsidRDefault="008D6267">
      <w:pPr>
        <w:rPr>
          <w:rFonts w:ascii="Times New Roman" w:hAnsi="Times New Roman" w:cs="Times New Roman"/>
          <w:color w:val="000033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На каком счете формируется первоначальная стоимость основных средств?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318"/>
      </w:tblGrid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01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03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07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08</w:t>
            </w:r>
          </w:p>
        </w:tc>
      </w:tr>
      <w:tr w:rsidR="008D6267" w:rsidRPr="008D6267" w:rsidTr="008D6267">
        <w:tc>
          <w:tcPr>
            <w:tcW w:w="450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</w:p>
        </w:tc>
        <w:tc>
          <w:tcPr>
            <w:tcW w:w="10318" w:type="dxa"/>
            <w:tcMar>
              <w:top w:w="30" w:type="dxa"/>
              <w:left w:w="15" w:type="dxa"/>
              <w:bottom w:w="30" w:type="dxa"/>
              <w:right w:w="15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eastAsia="ru-RU"/>
              </w:rPr>
              <w:t>60</w: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p w:rsidR="008D6267" w:rsidRPr="008D6267" w:rsidRDefault="008D6267" w:rsidP="008D626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</w:pPr>
      <w:r w:rsidRPr="008D6267">
        <w:rPr>
          <w:rFonts w:ascii="Times New Roman" w:eastAsia="Times New Roman" w:hAnsi="Times New Roman" w:cs="Times New Roman"/>
          <w:color w:val="000033"/>
          <w:sz w:val="24"/>
          <w:szCs w:val="24"/>
          <w:lang w:eastAsia="ru-RU"/>
        </w:rPr>
        <w:t>Сопоставьте записи по счетам бухгалтерского учета и хозяйственные операции по поступлению основных средств в организацию.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416"/>
        <w:gridCol w:w="1221"/>
        <w:gridCol w:w="6840"/>
      </w:tblGrid>
      <w:tr w:rsidR="008D6267" w:rsidRPr="008D6267" w:rsidTr="008D6267">
        <w:trPr>
          <w:trHeight w:val="300"/>
        </w:trPr>
        <w:tc>
          <w:tcPr>
            <w:tcW w:w="0" w:type="auto"/>
            <w:gridSpan w:val="2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Корреспонденция счетов</w:t>
            </w:r>
          </w:p>
        </w:tc>
        <w:tc>
          <w:tcPr>
            <w:tcW w:w="1159" w:type="dxa"/>
            <w:vMerge w:val="restart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6418" w:type="dxa"/>
            <w:vMerge w:val="restart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хозяйственной операции</w:t>
            </w:r>
          </w:p>
        </w:tc>
      </w:tr>
      <w:tr w:rsidR="008D6267" w:rsidRPr="008D6267" w:rsidTr="008D6267">
        <w:trPr>
          <w:trHeight w:val="300"/>
        </w:trPr>
        <w:tc>
          <w:tcPr>
            <w:tcW w:w="156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Дебет</w:t>
            </w:r>
          </w:p>
        </w:tc>
        <w:tc>
          <w:tcPr>
            <w:tcW w:w="1623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Кредит</w:t>
            </w:r>
          </w:p>
        </w:tc>
        <w:tc>
          <w:tcPr>
            <w:tcW w:w="0" w:type="auto"/>
            <w:vMerge/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8" w:type="dxa"/>
            <w:vMerge/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6267" w:rsidRPr="008D6267" w:rsidTr="008D6267">
        <w:trPr>
          <w:trHeight w:val="300"/>
        </w:trPr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1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               </w:t>
            </w: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255pt;height:18pt" o:ole="">
                  <v:imagedata r:id="rId5" o:title=""/>
                </v:shape>
                <w:control r:id="rId6" w:name="DefaultOcxName" w:shapeid="_x0000_i1116"/>
              </w:object>
            </w:r>
          </w:p>
        </w:tc>
      </w:tr>
      <w:tr w:rsidR="008D6267" w:rsidRPr="008D6267" w:rsidTr="008D6267">
        <w:trPr>
          <w:trHeight w:val="300"/>
        </w:trPr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1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                  </w:t>
            </w: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114" type="#_x0000_t75" style="width:255pt;height:18pt" o:ole="">
                  <v:imagedata r:id="rId7" o:title=""/>
                </v:shape>
                <w:control r:id="rId8" w:name="DefaultOcxName1" w:shapeid="_x0000_i1114"/>
              </w:object>
            </w:r>
          </w:p>
        </w:tc>
      </w:tr>
      <w:tr w:rsidR="008D6267" w:rsidRPr="008D6267" w:rsidTr="008D6267">
        <w:trPr>
          <w:trHeight w:val="300"/>
        </w:trPr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1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               </w:t>
            </w: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113" type="#_x0000_t75" style="width:255pt;height:18pt" o:ole="">
                  <v:imagedata r:id="rId9" o:title=""/>
                </v:shape>
                <w:control r:id="rId10" w:name="DefaultOcxName2" w:shapeid="_x0000_i1113"/>
              </w:object>
            </w:r>
          </w:p>
        </w:tc>
      </w:tr>
      <w:tr w:rsidR="008D6267" w:rsidRPr="008D6267" w:rsidTr="008D6267">
        <w:trPr>
          <w:trHeight w:val="300"/>
        </w:trPr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1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               </w:t>
            </w: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112" type="#_x0000_t75" style="width:255pt;height:18pt" o:ole="">
                  <v:imagedata r:id="rId11" o:title=""/>
                </v:shape>
                <w:control r:id="rId12" w:name="DefaultOcxName3" w:shapeid="_x0000_i1112"/>
              </w:object>
            </w:r>
          </w:p>
        </w:tc>
      </w:tr>
      <w:tr w:rsidR="008D6267" w:rsidRPr="008D6267" w:rsidTr="008D6267">
        <w:trPr>
          <w:trHeight w:val="300"/>
        </w:trPr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418" w:type="dxa"/>
            <w:tcMar>
              <w:top w:w="24" w:type="dxa"/>
              <w:left w:w="240" w:type="dxa"/>
              <w:bottom w:w="24" w:type="dxa"/>
              <w:right w:w="240" w:type="dxa"/>
            </w:tcMar>
            <w:vAlign w:val="center"/>
            <w:hideMark/>
          </w:tcPr>
          <w:p w:rsidR="008D6267" w:rsidRPr="008D6267" w:rsidRDefault="008D6267" w:rsidP="008D6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                </w:t>
            </w:r>
            <w:r w:rsidRPr="008D62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111" type="#_x0000_t75" style="width:255pt;height:18pt" o:ole="">
                  <v:imagedata r:id="rId13" o:title=""/>
                </v:shape>
                <w:control r:id="rId14" w:name="DefaultOcxName4" w:shapeid="_x0000_i1111"/>
              </w:object>
            </w:r>
          </w:p>
        </w:tc>
      </w:tr>
    </w:tbl>
    <w:p w:rsidR="008D6267" w:rsidRPr="008D6267" w:rsidRDefault="008D6267">
      <w:pPr>
        <w:rPr>
          <w:rFonts w:ascii="Times New Roman" w:hAnsi="Times New Roman" w:cs="Times New Roman"/>
          <w:sz w:val="24"/>
          <w:szCs w:val="24"/>
        </w:rPr>
      </w:pPr>
    </w:p>
    <w:sectPr w:rsidR="008D6267" w:rsidRPr="008D6267" w:rsidSect="008D6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E39B3"/>
    <w:multiLevelType w:val="hybridMultilevel"/>
    <w:tmpl w:val="87B0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7"/>
    <w:rsid w:val="00034379"/>
    <w:rsid w:val="000A17BC"/>
    <w:rsid w:val="003F04FE"/>
    <w:rsid w:val="005C5D8F"/>
    <w:rsid w:val="0082004F"/>
    <w:rsid w:val="00852702"/>
    <w:rsid w:val="008D6267"/>
    <w:rsid w:val="00E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502D"/>
  <w15:chartTrackingRefBased/>
  <w15:docId w15:val="{80A2A895-861E-4B00-8AB3-FD73380C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Guseinova</dc:creator>
  <cp:keywords/>
  <dc:description/>
  <cp:lastModifiedBy>Marina Guseinova</cp:lastModifiedBy>
  <cp:revision>1</cp:revision>
  <dcterms:created xsi:type="dcterms:W3CDTF">2020-03-23T08:36:00Z</dcterms:created>
  <dcterms:modified xsi:type="dcterms:W3CDTF">2020-03-23T08:47:00Z</dcterms:modified>
</cp:coreProperties>
</file>