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214CE" w14:textId="77777777" w:rsidR="00BC203A" w:rsidRDefault="00000000">
      <w:pPr>
        <w:spacing w:after="400"/>
        <w:jc w:val="center"/>
      </w:pPr>
      <w:proofErr w:type="spellStart"/>
      <w:r>
        <w:rPr>
          <w:b/>
          <w:bCs/>
          <w:sz w:val="32"/>
          <w:szCs w:val="32"/>
        </w:rPr>
        <w:t>ConsensusConnectR</w:t>
      </w:r>
      <w:proofErr w:type="spellEnd"/>
      <w:r>
        <w:rPr>
          <w:b/>
          <w:bCs/>
          <w:sz w:val="32"/>
          <w:szCs w:val="32"/>
        </w:rPr>
        <w:t>: A Multimethod Consensus Framework for Robust Functional Connectivity Analysis</w:t>
      </w:r>
    </w:p>
    <w:p w14:paraId="1094E1EE" w14:textId="3038E8C5" w:rsidR="00BC203A" w:rsidRDefault="00000000">
      <w:pPr>
        <w:spacing w:after="200"/>
        <w:jc w:val="center"/>
      </w:pPr>
      <w:r>
        <w:t xml:space="preserve">Andrew J. McGovern, Bonnie Lee, Amanda Namchuck, </w:t>
      </w:r>
      <w:r w:rsidR="005F4F61">
        <w:t xml:space="preserve">Jesse Lacasse, </w:t>
      </w:r>
      <w:r>
        <w:t>Liisa AM Galea</w:t>
      </w:r>
    </w:p>
    <w:p w14:paraId="3AAC18B1" w14:textId="3B409613" w:rsidR="00BC203A" w:rsidRDefault="00000000">
      <w:pPr>
        <w:spacing w:after="400"/>
        <w:jc w:val="center"/>
      </w:pPr>
      <w:r>
        <w:rPr>
          <w:i/>
          <w:iCs/>
          <w:sz w:val="22"/>
          <w:szCs w:val="22"/>
        </w:rPr>
        <w:t>Corresponding author:</w:t>
      </w:r>
      <w:r w:rsidR="005F4F61">
        <w:rPr>
          <w:i/>
          <w:iCs/>
          <w:sz w:val="22"/>
          <w:szCs w:val="22"/>
        </w:rPr>
        <w:t xml:space="preserve"> </w:t>
      </w:r>
    </w:p>
    <w:p w14:paraId="773C0A3D" w14:textId="77777777" w:rsidR="00BC203A" w:rsidRDefault="00000000">
      <w:pPr>
        <w:spacing w:after="200"/>
      </w:pPr>
      <w:r>
        <w:rPr>
          <w:b/>
          <w:bCs/>
        </w:rPr>
        <w:t xml:space="preserve">Keywords: </w:t>
      </w:r>
      <w:r>
        <w:t>functional connectivity, consensus analysis, correlation methods, network neuroscience, brain networks, graph theory, open-source software, R Shiny</w:t>
      </w:r>
    </w:p>
    <w:p w14:paraId="5561B6B4" w14:textId="77777777" w:rsidR="00BC203A" w:rsidRDefault="00000000">
      <w:pPr>
        <w:spacing w:before="300" w:after="100"/>
      </w:pPr>
      <w:r>
        <w:rPr>
          <w:b/>
          <w:bCs/>
        </w:rPr>
        <w:t>Highlights:</w:t>
      </w:r>
    </w:p>
    <w:p w14:paraId="20AAEAA3" w14:textId="77777777" w:rsidR="00BC203A" w:rsidRDefault="00000000">
      <w:pPr>
        <w:spacing w:after="200" w:line="480" w:lineRule="auto"/>
        <w:jc w:val="both"/>
      </w:pPr>
      <w:r>
        <w:t>• Integrates five correlation methods with three analytical frameworks for robust connectivity estimation</w:t>
      </w:r>
    </w:p>
    <w:p w14:paraId="57F8417C" w14:textId="77777777" w:rsidR="00BC203A" w:rsidRDefault="00000000">
      <w:pPr>
        <w:spacing w:after="200" w:line="480" w:lineRule="auto"/>
        <w:jc w:val="both"/>
      </w:pPr>
      <w:r>
        <w:t>• Consensus approach reduces method-dependent variability in hub identification and network metrics</w:t>
      </w:r>
    </w:p>
    <w:p w14:paraId="69F51CD1" w14:textId="77777777" w:rsidR="00BC203A" w:rsidRDefault="00000000">
      <w:pPr>
        <w:spacing w:after="200" w:line="480" w:lineRule="auto"/>
        <w:jc w:val="both"/>
      </w:pPr>
      <w:r>
        <w:t>• Interactive web interface enables comprehensive connectivity analysis without programming expertise</w:t>
      </w:r>
    </w:p>
    <w:p w14:paraId="7B5F77E8" w14:textId="77777777" w:rsidR="00BC203A" w:rsidRDefault="00000000">
      <w:pPr>
        <w:spacing w:after="200" w:line="480" w:lineRule="auto"/>
        <w:jc w:val="both"/>
      </w:pPr>
      <w:r>
        <w:t>• Validated through application in published peer-reviewed research</w:t>
      </w:r>
    </w:p>
    <w:p w14:paraId="1887F466" w14:textId="77777777" w:rsidR="00BC203A" w:rsidRDefault="00000000">
      <w:pPr>
        <w:spacing w:after="200" w:line="480" w:lineRule="auto"/>
        <w:jc w:val="both"/>
      </w:pPr>
      <w:r>
        <w:t>• Open-source R Shiny application deployable locally or via cloud hosting</w:t>
      </w:r>
    </w:p>
    <w:p w14:paraId="32B79CEF" w14:textId="77777777" w:rsidR="00BC203A" w:rsidRDefault="00000000">
      <w:r>
        <w:br w:type="page"/>
      </w:r>
    </w:p>
    <w:p w14:paraId="490C5949" w14:textId="77777777" w:rsidR="00BC203A" w:rsidRDefault="00000000">
      <w:pPr>
        <w:pStyle w:val="Heading1"/>
      </w:pPr>
      <w:r>
        <w:lastRenderedPageBreak/>
        <w:t>ABSTRACT</w:t>
      </w:r>
    </w:p>
    <w:p w14:paraId="79CA24E6" w14:textId="77777777" w:rsidR="00BC203A" w:rsidRDefault="00000000">
      <w:pPr>
        <w:spacing w:after="200" w:line="480" w:lineRule="auto"/>
        <w:jc w:val="both"/>
      </w:pPr>
      <w:r>
        <w:t xml:space="preserve">Functional connectivity analysis is fundamental to understanding brain network organization, yet results can vary substantially depending on the correlation method and analytical approach employed. This methodological variability poses particular challenges for studies with small sample sizes, where single-method approaches may yield unstable network metrics and hub identification. Here we present </w:t>
      </w:r>
      <w:proofErr w:type="spellStart"/>
      <w:r>
        <w:t>ConsensusConnectR</w:t>
      </w:r>
      <w:proofErr w:type="spellEnd"/>
      <w:r>
        <w:t xml:space="preserve">, an open-source R Shiny application that addresses this challenge through systematic integration of multiple correlation methods with multiple analytical frameworks. </w:t>
      </w:r>
      <w:proofErr w:type="spellStart"/>
      <w:r>
        <w:t>ConsensusConnectR</w:t>
      </w:r>
      <w:proofErr w:type="spellEnd"/>
      <w:r>
        <w:t xml:space="preserve"> implements five correlation methods (Pearson, Spearman, </w:t>
      </w:r>
      <w:proofErr w:type="spellStart"/>
      <w:r>
        <w:t>biweight</w:t>
      </w:r>
      <w:proofErr w:type="spellEnd"/>
      <w:r>
        <w:t xml:space="preserve"> </w:t>
      </w:r>
      <w:proofErr w:type="spellStart"/>
      <w:r>
        <w:t>midcorrelation</w:t>
      </w:r>
      <w:proofErr w:type="spellEnd"/>
      <w:r>
        <w:t xml:space="preserve">, shrinkage, and partial correlation) combined with three analytical approaches (weighted network analysis, percolation-based thresholding, and persistence-based analysis), enabling comprehensive assessment of connectivity patterns across 15 method-approach combinations. The software synthesizes results through a consensus framework that identifies features robust to methodological choices, with Bayesian confidence weighting to quantify reliability of hub identification. The interactive web interface requires no programming expertise and provides publication-ready visualizations, comprehensive network metrics, and organized data exports. </w:t>
      </w:r>
      <w:proofErr w:type="spellStart"/>
      <w:r>
        <w:t>ConsensusConnectR</w:t>
      </w:r>
      <w:proofErr w:type="spellEnd"/>
      <w:r>
        <w:t xml:space="preserve"> has been validated through application in published research examining functional connectivity in preclinical models. The software, sample data, and documentation are freely available, providing researchers with an accessible tool for robust, reproducible functional connectivity analysis.</w:t>
      </w:r>
    </w:p>
    <w:p w14:paraId="5AF69486" w14:textId="77777777" w:rsidR="00BC203A" w:rsidRDefault="00000000">
      <w:r>
        <w:br w:type="page"/>
      </w:r>
    </w:p>
    <w:p w14:paraId="40ACB404" w14:textId="77777777" w:rsidR="00BC203A" w:rsidRDefault="00000000">
      <w:pPr>
        <w:pStyle w:val="Heading1"/>
      </w:pPr>
      <w:r>
        <w:lastRenderedPageBreak/>
        <w:t>1. INTRODUCTION</w:t>
      </w:r>
    </w:p>
    <w:p w14:paraId="3C82E767" w14:textId="77777777" w:rsidR="00BC203A" w:rsidRDefault="00000000">
      <w:pPr>
        <w:spacing w:after="200" w:line="480" w:lineRule="auto"/>
        <w:ind w:firstLine="720"/>
        <w:jc w:val="both"/>
      </w:pPr>
      <w:r>
        <w:t xml:space="preserve">Functional connectivity analysis has become a cornerstone methodology for understanding brain network organization across species, developmental stages, and disease states (Bullmore and </w:t>
      </w:r>
      <w:proofErr w:type="spellStart"/>
      <w:r>
        <w:t>Sporns</w:t>
      </w:r>
      <w:proofErr w:type="spellEnd"/>
      <w:r>
        <w:t xml:space="preserve">, 2009; Bassett and </w:t>
      </w:r>
      <w:proofErr w:type="spellStart"/>
      <w:r>
        <w:t>Sporns</w:t>
      </w:r>
      <w:proofErr w:type="spellEnd"/>
      <w:r>
        <w:t xml:space="preserve">, 2017; Rubinov and </w:t>
      </w:r>
      <w:proofErr w:type="spellStart"/>
      <w:r>
        <w:t>Sporns</w:t>
      </w:r>
      <w:proofErr w:type="spellEnd"/>
      <w:r>
        <w:t xml:space="preserve">, 2010). By quantifying statistical dependencies between activity patterns in different brain regions, functional connectivity approaches reveal the coordinated dynamics that underlie cognition, </w:t>
      </w:r>
      <w:proofErr w:type="spellStart"/>
      <w:r>
        <w:t>behavior</w:t>
      </w:r>
      <w:proofErr w:type="spellEnd"/>
      <w:r>
        <w:t>, and their disruption in neurological and psychiatric conditions (</w:t>
      </w:r>
      <w:proofErr w:type="spellStart"/>
      <w:r>
        <w:t>Fornito</w:t>
      </w:r>
      <w:proofErr w:type="spellEnd"/>
      <w:r>
        <w:t xml:space="preserve"> et al., 2015). These methods have been applied across diverse data modalities, including functional magnetic resonance imaging (fMRI), electroencephalography (EEG), magnetoencephalography (MEG), calcium imaging, and immediate early gene expression mapping (Power et al., 2011; Scheinost et al., 2016; Lee et al., 2026).</w:t>
      </w:r>
    </w:p>
    <w:p w14:paraId="04F42E1E" w14:textId="77777777" w:rsidR="00BC203A" w:rsidRDefault="00000000">
      <w:pPr>
        <w:spacing w:after="200" w:line="480" w:lineRule="auto"/>
        <w:ind w:firstLine="720"/>
        <w:jc w:val="both"/>
      </w:pPr>
      <w:r>
        <w:t>Despite the widespread adoption of functional connectivity analysis, a fundamental challenge remains: results can vary substantially depending on methodological choices (Hallquist and Hillary, 2019). Different correlation methods capture distinct aspects of statistical relationships between brain regions, and the choice of correlation method can meaningfully influence which regions are identified as network hubs and how network topology is characterized (Zalesky et al., 2012). Pearson correlation, the most commonly employed method, assumes linear relationships and is sensitive to outliers (Wilcox, 2012). Spearman correlation accommodates monotonic nonlinear relationships through rank transformation but may sacrifice power for detecting linear associations. Partial correlation aims to identify direct connections by controlling for confounding influences from other regions but becomes unstable with small sample sizes relative to the number of variables (</w:t>
      </w:r>
      <w:proofErr w:type="spellStart"/>
      <w:r>
        <w:t>Marrelec</w:t>
      </w:r>
      <w:proofErr w:type="spellEnd"/>
      <w:r>
        <w:t xml:space="preserve"> et al., 2006). Robust correlation methods such as </w:t>
      </w:r>
      <w:proofErr w:type="spellStart"/>
      <w:r>
        <w:t>biweight</w:t>
      </w:r>
      <w:proofErr w:type="spellEnd"/>
      <w:r>
        <w:t xml:space="preserve"> </w:t>
      </w:r>
      <w:proofErr w:type="spellStart"/>
      <w:r>
        <w:t>midcorrelation</w:t>
      </w:r>
      <w:proofErr w:type="spellEnd"/>
      <w:r>
        <w:t xml:space="preserve"> provide resistance to outliers but are less commonly available in standard </w:t>
      </w:r>
      <w:r>
        <w:lastRenderedPageBreak/>
        <w:t>software packages (Wilcox, 1994). Shrinkage-based approaches regularize correlation estimates to improve stability with limited samples but introduce assumptions about the underlying covariance structure (Schafer and Strimmer, 2005).</w:t>
      </w:r>
    </w:p>
    <w:p w14:paraId="2699E441" w14:textId="77777777" w:rsidR="00BC203A" w:rsidRDefault="00000000">
      <w:pPr>
        <w:spacing w:after="200" w:line="480" w:lineRule="auto"/>
        <w:ind w:firstLine="720"/>
        <w:jc w:val="both"/>
      </w:pPr>
      <w:r>
        <w:t xml:space="preserve">Beyond correlation method selection, the approach to network construction introduces additional sources of variability. Weighted network analysis preserves the continuous nature of correlation strengths but may be dominated by strong connections (Rubinov and </w:t>
      </w:r>
      <w:proofErr w:type="spellStart"/>
      <w:r>
        <w:t>Sporns</w:t>
      </w:r>
      <w:proofErr w:type="spellEnd"/>
      <w:r>
        <w:t>, 2011). Threshold-based approaches convert correlation matrices to binary adjacency matrices but require arbitrary threshold selection, with different thresholds yielding substantially different network topologies (van Wijk et al., 2010; Garrison et al., 2015; van den Heuvel et al., 2017). Percolation-based methods offer a principled approach to threshold selection by identifying the point at which the network fragments, but sensitivity to noise remains a concern (Gallos et al., 2012). Persistence-based approaches that integrate network metrics across a range of thresholds provide robustness to threshold selection but are computationally more intensive and less widely implemented (Giusti et al., 2016).</w:t>
      </w:r>
    </w:p>
    <w:p w14:paraId="78D663A8" w14:textId="77777777" w:rsidR="00BC203A" w:rsidRDefault="00000000">
      <w:pPr>
        <w:spacing w:after="200" w:line="480" w:lineRule="auto"/>
        <w:ind w:firstLine="720"/>
        <w:jc w:val="both"/>
      </w:pPr>
      <w:r>
        <w:t>These methodological considerations are particularly consequential for studies with small sample sizes, which characterize much of preclinical neuroscience research and specialized clinical populations (Button et al., 2013). The test-retest reliability of functional connectivity measures remains a concern even with larger samples (Noble et al., 2019; Zuo and Xing, 2014). With limited data, correlation estimates become unstable, and single-method approaches may identify spurious hubs or miss genuine network features. Researchers typically select a single correlation method and analytical approach based on convention, software availability, or precedent in their field, often without systematic evaluation of how alternative choices would affect their conclusions.</w:t>
      </w:r>
    </w:p>
    <w:p w14:paraId="53BA2043" w14:textId="77777777" w:rsidR="00BC203A" w:rsidRDefault="00000000">
      <w:pPr>
        <w:spacing w:after="200" w:line="480" w:lineRule="auto"/>
        <w:ind w:firstLine="720"/>
        <w:jc w:val="both"/>
      </w:pPr>
      <w:r>
        <w:lastRenderedPageBreak/>
        <w:t>Existing software tools for functional connectivity analysis, while powerful, generally implement single methods or require users to select among options without providing systematic comparison across approaches (</w:t>
      </w:r>
      <w:proofErr w:type="spellStart"/>
      <w:r>
        <w:t>Fornito</w:t>
      </w:r>
      <w:proofErr w:type="spellEnd"/>
      <w:r>
        <w:t xml:space="preserve"> et al., 2016). Tools such as CONN (Whitfield-Gabrieli and Nieto-Castanon, 2012), FSL (Jenkinson et al., 2012), and the Brain Connectivity Toolbox (Rubinov and </w:t>
      </w:r>
      <w:proofErr w:type="spellStart"/>
      <w:r>
        <w:t>Sporns</w:t>
      </w:r>
      <w:proofErr w:type="spellEnd"/>
      <w:r>
        <w:t>, 2010) offer sophisticated functionality but do not provide integrated multi-method consensus analysis. Custom scripting allows flexible implementation of alternative methods but requires programming expertise and may not be accessible to all researchers.</w:t>
      </w:r>
    </w:p>
    <w:p w14:paraId="26748A7A" w14:textId="77777777" w:rsidR="00BC203A" w:rsidRDefault="00000000">
      <w:pPr>
        <w:spacing w:after="200" w:line="480" w:lineRule="auto"/>
        <w:ind w:firstLine="720"/>
        <w:jc w:val="both"/>
      </w:pPr>
      <w:r>
        <w:t xml:space="preserve">We present </w:t>
      </w:r>
      <w:proofErr w:type="spellStart"/>
      <w:r>
        <w:t>ConsensusConnectR</w:t>
      </w:r>
      <w:proofErr w:type="spellEnd"/>
      <w:r>
        <w:t xml:space="preserve">, an open-source R Shiny application that addresses these challenges through systematic integration of multiple correlation methods with multiple analytical frameworks. The software implements five correlation methods (Pearson, Spearman, </w:t>
      </w:r>
      <w:proofErr w:type="spellStart"/>
      <w:r>
        <w:t>biweight</w:t>
      </w:r>
      <w:proofErr w:type="spellEnd"/>
      <w:r>
        <w:t xml:space="preserve"> </w:t>
      </w:r>
      <w:proofErr w:type="spellStart"/>
      <w:r>
        <w:t>midcorrelation</w:t>
      </w:r>
      <w:proofErr w:type="spellEnd"/>
      <w:r>
        <w:t>, shrinkage, and partial correlation) combined with three analytical approaches (weighted network analysis, percolation-based thresholding, and persistence-based analysis). Results are synthesized through a consensus framework that identifies network features robust to methodological choices, with confidence quantification based on agreement across method-approach combinations. The interactive web interface enables comprehensive connectivity analysis without programming expertise, while modular architecture supports extension and customization.</w:t>
      </w:r>
    </w:p>
    <w:p w14:paraId="5FF11F85" w14:textId="77777777" w:rsidR="00BC203A" w:rsidRDefault="00000000">
      <w:pPr>
        <w:spacing w:after="200" w:line="480" w:lineRule="auto"/>
        <w:ind w:firstLine="720"/>
        <w:jc w:val="both"/>
      </w:pPr>
      <w:r>
        <w:t xml:space="preserve">The primary aims of </w:t>
      </w:r>
      <w:proofErr w:type="spellStart"/>
      <w:r>
        <w:t>ConsensusConnectR</w:t>
      </w:r>
      <w:proofErr w:type="spellEnd"/>
      <w:r>
        <w:t xml:space="preserve"> are threefold: (1) to systematically integrate multiple correlation methods to characterize functional connectivity from complementary statistical perspectives; (2) to provide multiple analytical frameworks for network construction, enabling assessment of result sensitivity to methodological choices; and (3) to synthesize results through consensus metrics that identify robust network features with quantified confidence. </w:t>
      </w:r>
      <w:r>
        <w:lastRenderedPageBreak/>
        <w:t xml:space="preserve">Through these aims, </w:t>
      </w:r>
      <w:proofErr w:type="spellStart"/>
      <w:r>
        <w:t>ConsensusConnectR</w:t>
      </w:r>
      <w:proofErr w:type="spellEnd"/>
      <w:r>
        <w:t xml:space="preserve"> provides researchers with a comprehensive tool for functional connectivity analysis that promotes methodological rigor and reproducibility.</w:t>
      </w:r>
    </w:p>
    <w:p w14:paraId="405309CF" w14:textId="77777777" w:rsidR="00BC203A" w:rsidRDefault="00000000">
      <w:r>
        <w:br w:type="page"/>
      </w:r>
    </w:p>
    <w:p w14:paraId="4CAC1188" w14:textId="77777777" w:rsidR="00BC203A" w:rsidRDefault="00000000">
      <w:pPr>
        <w:pStyle w:val="Heading1"/>
      </w:pPr>
      <w:r>
        <w:lastRenderedPageBreak/>
        <w:t>2. METHODS</w:t>
      </w:r>
    </w:p>
    <w:p w14:paraId="00296541" w14:textId="77777777" w:rsidR="00BC203A" w:rsidRDefault="00000000">
      <w:pPr>
        <w:pStyle w:val="Heading2"/>
        <w:spacing w:before="400" w:after="200"/>
      </w:pPr>
      <w:r>
        <w:t>2.1 Software Architecture</w:t>
      </w:r>
    </w:p>
    <w:p w14:paraId="4F1E0FBB" w14:textId="77777777" w:rsidR="00BC203A" w:rsidRDefault="00000000">
      <w:pPr>
        <w:spacing w:after="200" w:line="480" w:lineRule="auto"/>
        <w:ind w:firstLine="720"/>
        <w:jc w:val="both"/>
      </w:pPr>
      <w:proofErr w:type="spellStart"/>
      <w:r>
        <w:t>ConsensusConnectR</w:t>
      </w:r>
      <w:proofErr w:type="spellEnd"/>
      <w:r>
        <w:t xml:space="preserve"> is implemented as an R Shiny web application using the </w:t>
      </w:r>
      <w:proofErr w:type="spellStart"/>
      <w:r>
        <w:t>shinydashboard</w:t>
      </w:r>
      <w:proofErr w:type="spellEnd"/>
      <w:r>
        <w:t xml:space="preserve"> framework for user interface design. The software follows a modular architecture with separation of analysis functions, visualization components, and user interface elements across 17 specialized R modules comprising approximately 30,000 lines of documented code.</w:t>
      </w:r>
    </w:p>
    <w:p w14:paraId="4F4E5DB7" w14:textId="77777777" w:rsidR="00BC203A" w:rsidRDefault="00000000">
      <w:pPr>
        <w:spacing w:after="200" w:line="480" w:lineRule="auto"/>
        <w:ind w:firstLine="720"/>
        <w:jc w:val="both"/>
      </w:pPr>
      <w:r>
        <w:t xml:space="preserve">The modular design enables independent development and testing of analytical components while supporting graceful degradation when optional dependencies are unavailable. Core functionality requires the shiny (Chang et al., 2024), </w:t>
      </w:r>
      <w:proofErr w:type="spellStart"/>
      <w:r>
        <w:t>shinydashboard</w:t>
      </w:r>
      <w:proofErr w:type="spellEnd"/>
      <w:r>
        <w:t xml:space="preserve">, </w:t>
      </w:r>
      <w:proofErr w:type="spellStart"/>
      <w:r>
        <w:t>igraph</w:t>
      </w:r>
      <w:proofErr w:type="spellEnd"/>
      <w:r>
        <w:t xml:space="preserve"> (</w:t>
      </w:r>
      <w:proofErr w:type="spellStart"/>
      <w:r>
        <w:t>Csardi</w:t>
      </w:r>
      <w:proofErr w:type="spellEnd"/>
      <w:r>
        <w:t xml:space="preserve"> and </w:t>
      </w:r>
      <w:proofErr w:type="spellStart"/>
      <w:r>
        <w:t>Nepusz</w:t>
      </w:r>
      <w:proofErr w:type="spellEnd"/>
      <w:r>
        <w:t>, 2006), and mice (van Buuren and Groothuis-</w:t>
      </w:r>
      <w:proofErr w:type="spellStart"/>
      <w:r>
        <w:t>Oudshoorn</w:t>
      </w:r>
      <w:proofErr w:type="spellEnd"/>
      <w:r>
        <w:t xml:space="preserve">, 2011) packages, while enhanced correlation methods utilize the psych package (Revelle, 2024) for </w:t>
      </w:r>
      <w:proofErr w:type="spellStart"/>
      <w:r>
        <w:t>biweight</w:t>
      </w:r>
      <w:proofErr w:type="spellEnd"/>
      <w:r>
        <w:t xml:space="preserve"> </w:t>
      </w:r>
      <w:proofErr w:type="spellStart"/>
      <w:r>
        <w:t>midcorrelation</w:t>
      </w:r>
      <w:proofErr w:type="spellEnd"/>
      <w:r>
        <w:t xml:space="preserve"> and partial correlation, and the </w:t>
      </w:r>
      <w:proofErr w:type="spellStart"/>
      <w:r>
        <w:t>corpcor</w:t>
      </w:r>
      <w:proofErr w:type="spellEnd"/>
      <w:r>
        <w:t xml:space="preserve"> package (Schafer et al., 2021) for shrinkage estimation. All analyses are performed in R (R Core Team, 2024). When optional packages are not available, the software provides informative messages and falls back to available methods while maintaining the consensus framework structure.</w:t>
      </w:r>
    </w:p>
    <w:p w14:paraId="0C6E031C" w14:textId="77777777" w:rsidR="00BC203A" w:rsidRDefault="00000000">
      <w:pPr>
        <w:spacing w:after="200" w:line="480" w:lineRule="auto"/>
        <w:jc w:val="both"/>
      </w:pPr>
      <w:r>
        <w:t xml:space="preserve">Table 1 lists the primary software dependencies and their functions within </w:t>
      </w:r>
      <w:proofErr w:type="spellStart"/>
      <w:r>
        <w:t>ConsensusConnectR</w:t>
      </w:r>
      <w:proofErr w:type="spellEnd"/>
      <w:r>
        <w:t>.</w:t>
      </w:r>
    </w:p>
    <w:p w14:paraId="737A038A" w14:textId="77777777" w:rsidR="00BC203A" w:rsidRDefault="00000000">
      <w:pPr>
        <w:spacing w:before="300" w:after="100"/>
      </w:pPr>
      <w:r>
        <w:rPr>
          <w:b/>
          <w:bCs/>
          <w:i/>
          <w:iCs/>
        </w:rPr>
        <w:t>Table 1. Software Dependencies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4614"/>
        <w:gridCol w:w="2663"/>
      </w:tblGrid>
      <w:tr w:rsidR="00BC203A" w14:paraId="31AC961A"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E0E0E0"/>
          </w:tcPr>
          <w:p w14:paraId="2AE6B215" w14:textId="77777777" w:rsidR="00BC203A" w:rsidRDefault="00000000">
            <w:pPr>
              <w:jc w:val="center"/>
            </w:pPr>
            <w:r>
              <w:rPr>
                <w:b/>
                <w:bCs/>
                <w:sz w:val="22"/>
                <w:szCs w:val="22"/>
              </w:rPr>
              <w:t>Package</w:t>
            </w:r>
          </w:p>
        </w:tc>
        <w:tc>
          <w:tcPr>
            <w:tcW w:w="0" w:type="auto"/>
            <w:tcBorders>
              <w:top w:val="single" w:sz="1" w:space="0" w:color="000000"/>
              <w:left w:val="single" w:sz="1" w:space="0" w:color="000000"/>
              <w:bottom w:val="single" w:sz="1" w:space="0" w:color="000000"/>
              <w:right w:val="single" w:sz="1" w:space="0" w:color="000000"/>
            </w:tcBorders>
            <w:shd w:val="clear" w:color="auto" w:fill="E0E0E0"/>
          </w:tcPr>
          <w:p w14:paraId="6F4A874C" w14:textId="77777777" w:rsidR="00BC203A" w:rsidRDefault="00000000">
            <w:pPr>
              <w:jc w:val="center"/>
            </w:pPr>
            <w:r>
              <w:rPr>
                <w:b/>
                <w:bCs/>
                <w:sz w:val="22"/>
                <w:szCs w:val="22"/>
              </w:rPr>
              <w:t>Function</w:t>
            </w:r>
          </w:p>
        </w:tc>
        <w:tc>
          <w:tcPr>
            <w:tcW w:w="0" w:type="auto"/>
            <w:tcBorders>
              <w:top w:val="single" w:sz="1" w:space="0" w:color="000000"/>
              <w:left w:val="single" w:sz="1" w:space="0" w:color="000000"/>
              <w:bottom w:val="single" w:sz="1" w:space="0" w:color="000000"/>
              <w:right w:val="single" w:sz="1" w:space="0" w:color="000000"/>
            </w:tcBorders>
            <w:shd w:val="clear" w:color="auto" w:fill="E0E0E0"/>
          </w:tcPr>
          <w:p w14:paraId="19356D3E" w14:textId="77777777" w:rsidR="00BC203A" w:rsidRDefault="00000000">
            <w:pPr>
              <w:jc w:val="center"/>
            </w:pPr>
            <w:r>
              <w:rPr>
                <w:b/>
                <w:bCs/>
                <w:sz w:val="22"/>
                <w:szCs w:val="22"/>
              </w:rPr>
              <w:t>Required/Optional</w:t>
            </w:r>
          </w:p>
        </w:tc>
      </w:tr>
      <w:tr w:rsidR="00BC203A" w14:paraId="2F727D45"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45072E39" w14:textId="77777777" w:rsidR="00BC203A" w:rsidRDefault="00000000">
            <w:pPr>
              <w:spacing w:before="40" w:after="40"/>
            </w:pPr>
            <w:r>
              <w:rPr>
                <w:sz w:val="22"/>
                <w:szCs w:val="22"/>
              </w:rPr>
              <w:t>shiny</w:t>
            </w:r>
          </w:p>
        </w:tc>
        <w:tc>
          <w:tcPr>
            <w:tcW w:w="0" w:type="auto"/>
            <w:tcBorders>
              <w:top w:val="single" w:sz="1" w:space="0" w:color="000000"/>
              <w:left w:val="single" w:sz="1" w:space="0" w:color="000000"/>
              <w:bottom w:val="single" w:sz="1" w:space="0" w:color="000000"/>
              <w:right w:val="single" w:sz="1" w:space="0" w:color="000000"/>
            </w:tcBorders>
          </w:tcPr>
          <w:p w14:paraId="3F852530" w14:textId="77777777" w:rsidR="00BC203A" w:rsidRDefault="00000000">
            <w:pPr>
              <w:spacing w:before="40" w:after="40"/>
            </w:pPr>
            <w:r>
              <w:rPr>
                <w:sz w:val="22"/>
                <w:szCs w:val="22"/>
              </w:rPr>
              <w:t>Web application framework</w:t>
            </w:r>
          </w:p>
        </w:tc>
        <w:tc>
          <w:tcPr>
            <w:tcW w:w="0" w:type="auto"/>
            <w:tcBorders>
              <w:top w:val="single" w:sz="1" w:space="0" w:color="000000"/>
              <w:left w:val="single" w:sz="1" w:space="0" w:color="000000"/>
              <w:bottom w:val="single" w:sz="1" w:space="0" w:color="000000"/>
              <w:right w:val="single" w:sz="1" w:space="0" w:color="000000"/>
            </w:tcBorders>
          </w:tcPr>
          <w:p w14:paraId="71F06C2A" w14:textId="77777777" w:rsidR="00BC203A" w:rsidRDefault="00000000">
            <w:pPr>
              <w:spacing w:before="40" w:after="40"/>
            </w:pPr>
            <w:r>
              <w:rPr>
                <w:sz w:val="22"/>
                <w:szCs w:val="22"/>
              </w:rPr>
              <w:t>Required</w:t>
            </w:r>
          </w:p>
        </w:tc>
      </w:tr>
      <w:tr w:rsidR="00BC203A" w14:paraId="28EF4621"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563C9D34" w14:textId="77777777" w:rsidR="00BC203A" w:rsidRDefault="00000000">
            <w:pPr>
              <w:spacing w:before="40" w:after="40"/>
            </w:pPr>
            <w:proofErr w:type="spellStart"/>
            <w:r>
              <w:rPr>
                <w:sz w:val="22"/>
                <w:szCs w:val="22"/>
              </w:rPr>
              <w:t>shinydashboard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E67A543" w14:textId="77777777" w:rsidR="00BC203A" w:rsidRDefault="00000000">
            <w:pPr>
              <w:spacing w:before="40" w:after="40"/>
            </w:pPr>
            <w:r>
              <w:rPr>
                <w:sz w:val="22"/>
                <w:szCs w:val="22"/>
              </w:rPr>
              <w:t>Dashboard UI components</w:t>
            </w:r>
          </w:p>
        </w:tc>
        <w:tc>
          <w:tcPr>
            <w:tcW w:w="0" w:type="auto"/>
            <w:tcBorders>
              <w:top w:val="single" w:sz="1" w:space="0" w:color="000000"/>
              <w:left w:val="single" w:sz="1" w:space="0" w:color="000000"/>
              <w:bottom w:val="single" w:sz="1" w:space="0" w:color="000000"/>
              <w:right w:val="single" w:sz="1" w:space="0" w:color="000000"/>
            </w:tcBorders>
          </w:tcPr>
          <w:p w14:paraId="193BDF39" w14:textId="77777777" w:rsidR="00BC203A" w:rsidRDefault="00000000">
            <w:pPr>
              <w:spacing w:before="40" w:after="40"/>
            </w:pPr>
            <w:r>
              <w:rPr>
                <w:sz w:val="22"/>
                <w:szCs w:val="22"/>
              </w:rPr>
              <w:t>Required</w:t>
            </w:r>
          </w:p>
        </w:tc>
      </w:tr>
      <w:tr w:rsidR="00BC203A" w14:paraId="29BCD54C"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7E623135" w14:textId="77777777" w:rsidR="00BC203A" w:rsidRDefault="00000000">
            <w:pPr>
              <w:spacing w:before="40" w:after="40"/>
            </w:pPr>
            <w:proofErr w:type="spellStart"/>
            <w:r>
              <w:rPr>
                <w:sz w:val="22"/>
                <w:szCs w:val="22"/>
              </w:rPr>
              <w:t>igraph</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806BA90" w14:textId="77777777" w:rsidR="00BC203A" w:rsidRDefault="00000000">
            <w:pPr>
              <w:spacing w:before="40" w:after="40"/>
            </w:pPr>
            <w:r>
              <w:rPr>
                <w:sz w:val="22"/>
                <w:szCs w:val="22"/>
              </w:rPr>
              <w:t>Network analysis and visualization</w:t>
            </w:r>
          </w:p>
        </w:tc>
        <w:tc>
          <w:tcPr>
            <w:tcW w:w="0" w:type="auto"/>
            <w:tcBorders>
              <w:top w:val="single" w:sz="1" w:space="0" w:color="000000"/>
              <w:left w:val="single" w:sz="1" w:space="0" w:color="000000"/>
              <w:bottom w:val="single" w:sz="1" w:space="0" w:color="000000"/>
              <w:right w:val="single" w:sz="1" w:space="0" w:color="000000"/>
            </w:tcBorders>
          </w:tcPr>
          <w:p w14:paraId="552FE6FA" w14:textId="77777777" w:rsidR="00BC203A" w:rsidRDefault="00000000">
            <w:pPr>
              <w:spacing w:before="40" w:after="40"/>
            </w:pPr>
            <w:r>
              <w:rPr>
                <w:sz w:val="22"/>
                <w:szCs w:val="22"/>
              </w:rPr>
              <w:t>Required</w:t>
            </w:r>
          </w:p>
        </w:tc>
      </w:tr>
      <w:tr w:rsidR="00BC203A" w14:paraId="7632EC8B"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4C4F7B3B" w14:textId="77777777" w:rsidR="00BC203A" w:rsidRDefault="00000000">
            <w:pPr>
              <w:spacing w:before="40" w:after="40"/>
            </w:pPr>
            <w:r>
              <w:rPr>
                <w:sz w:val="22"/>
                <w:szCs w:val="22"/>
              </w:rPr>
              <w:t>mice</w:t>
            </w:r>
          </w:p>
        </w:tc>
        <w:tc>
          <w:tcPr>
            <w:tcW w:w="0" w:type="auto"/>
            <w:tcBorders>
              <w:top w:val="single" w:sz="1" w:space="0" w:color="000000"/>
              <w:left w:val="single" w:sz="1" w:space="0" w:color="000000"/>
              <w:bottom w:val="single" w:sz="1" w:space="0" w:color="000000"/>
              <w:right w:val="single" w:sz="1" w:space="0" w:color="000000"/>
            </w:tcBorders>
          </w:tcPr>
          <w:p w14:paraId="2037703C" w14:textId="77777777" w:rsidR="00BC203A" w:rsidRDefault="00000000">
            <w:pPr>
              <w:spacing w:before="40" w:after="40"/>
            </w:pPr>
            <w:r>
              <w:rPr>
                <w:sz w:val="22"/>
                <w:szCs w:val="22"/>
              </w:rPr>
              <w:t>Multiple imputation</w:t>
            </w:r>
          </w:p>
        </w:tc>
        <w:tc>
          <w:tcPr>
            <w:tcW w:w="0" w:type="auto"/>
            <w:tcBorders>
              <w:top w:val="single" w:sz="1" w:space="0" w:color="000000"/>
              <w:left w:val="single" w:sz="1" w:space="0" w:color="000000"/>
              <w:bottom w:val="single" w:sz="1" w:space="0" w:color="000000"/>
              <w:right w:val="single" w:sz="1" w:space="0" w:color="000000"/>
            </w:tcBorders>
          </w:tcPr>
          <w:p w14:paraId="09D9738F" w14:textId="77777777" w:rsidR="00BC203A" w:rsidRDefault="00000000">
            <w:pPr>
              <w:spacing w:before="40" w:after="40"/>
            </w:pPr>
            <w:r>
              <w:rPr>
                <w:sz w:val="22"/>
                <w:szCs w:val="22"/>
              </w:rPr>
              <w:t>Required</w:t>
            </w:r>
          </w:p>
        </w:tc>
      </w:tr>
      <w:tr w:rsidR="00BC203A" w14:paraId="725C99DE"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1AA98829" w14:textId="77777777" w:rsidR="00BC203A" w:rsidRDefault="00000000">
            <w:pPr>
              <w:spacing w:before="40" w:after="40"/>
            </w:pPr>
            <w:proofErr w:type="spellStart"/>
            <w:r>
              <w:rPr>
                <w:sz w:val="22"/>
                <w:szCs w:val="22"/>
              </w:rPr>
              <w:t>corrplot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4D94384" w14:textId="77777777" w:rsidR="00BC203A" w:rsidRDefault="00000000">
            <w:pPr>
              <w:spacing w:before="40" w:after="40"/>
            </w:pPr>
            <w:r>
              <w:rPr>
                <w:sz w:val="22"/>
                <w:szCs w:val="22"/>
              </w:rPr>
              <w:t>Correlation matrix visualization</w:t>
            </w:r>
          </w:p>
        </w:tc>
        <w:tc>
          <w:tcPr>
            <w:tcW w:w="0" w:type="auto"/>
            <w:tcBorders>
              <w:top w:val="single" w:sz="1" w:space="0" w:color="000000"/>
              <w:left w:val="single" w:sz="1" w:space="0" w:color="000000"/>
              <w:bottom w:val="single" w:sz="1" w:space="0" w:color="000000"/>
              <w:right w:val="single" w:sz="1" w:space="0" w:color="000000"/>
            </w:tcBorders>
          </w:tcPr>
          <w:p w14:paraId="4E0008C0" w14:textId="77777777" w:rsidR="00BC203A" w:rsidRDefault="00000000">
            <w:pPr>
              <w:spacing w:before="40" w:after="40"/>
            </w:pPr>
            <w:r>
              <w:rPr>
                <w:sz w:val="22"/>
                <w:szCs w:val="22"/>
              </w:rPr>
              <w:t>Required</w:t>
            </w:r>
          </w:p>
        </w:tc>
      </w:tr>
      <w:tr w:rsidR="00BC203A" w14:paraId="4CA6DBCA"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6587DDF8" w14:textId="77777777" w:rsidR="00BC203A" w:rsidRDefault="00000000">
            <w:pPr>
              <w:spacing w:before="40" w:after="40"/>
            </w:pPr>
            <w:r>
              <w:rPr>
                <w:sz w:val="22"/>
                <w:szCs w:val="22"/>
              </w:rPr>
              <w:t>ggplot2</w:t>
            </w:r>
          </w:p>
        </w:tc>
        <w:tc>
          <w:tcPr>
            <w:tcW w:w="0" w:type="auto"/>
            <w:tcBorders>
              <w:top w:val="single" w:sz="1" w:space="0" w:color="000000"/>
              <w:left w:val="single" w:sz="1" w:space="0" w:color="000000"/>
              <w:bottom w:val="single" w:sz="1" w:space="0" w:color="000000"/>
              <w:right w:val="single" w:sz="1" w:space="0" w:color="000000"/>
            </w:tcBorders>
          </w:tcPr>
          <w:p w14:paraId="285B6AE8" w14:textId="77777777" w:rsidR="00BC203A" w:rsidRDefault="00000000">
            <w:pPr>
              <w:spacing w:before="40" w:after="40"/>
            </w:pPr>
            <w:r>
              <w:rPr>
                <w:sz w:val="22"/>
                <w:szCs w:val="22"/>
              </w:rPr>
              <w:t>Data visualization</w:t>
            </w:r>
          </w:p>
        </w:tc>
        <w:tc>
          <w:tcPr>
            <w:tcW w:w="0" w:type="auto"/>
            <w:tcBorders>
              <w:top w:val="single" w:sz="1" w:space="0" w:color="000000"/>
              <w:left w:val="single" w:sz="1" w:space="0" w:color="000000"/>
              <w:bottom w:val="single" w:sz="1" w:space="0" w:color="000000"/>
              <w:right w:val="single" w:sz="1" w:space="0" w:color="000000"/>
            </w:tcBorders>
          </w:tcPr>
          <w:p w14:paraId="56210AC4" w14:textId="77777777" w:rsidR="00BC203A" w:rsidRDefault="00000000">
            <w:pPr>
              <w:spacing w:before="40" w:after="40"/>
            </w:pPr>
            <w:r>
              <w:rPr>
                <w:sz w:val="22"/>
                <w:szCs w:val="22"/>
              </w:rPr>
              <w:t>Required</w:t>
            </w:r>
          </w:p>
        </w:tc>
      </w:tr>
      <w:tr w:rsidR="00BC203A" w14:paraId="07D6F95F"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384AC560" w14:textId="77777777" w:rsidR="00BC203A" w:rsidRDefault="00000000">
            <w:pPr>
              <w:spacing w:before="40" w:after="40"/>
            </w:pPr>
            <w:r>
              <w:rPr>
                <w:sz w:val="22"/>
                <w:szCs w:val="22"/>
              </w:rPr>
              <w:t>psych</w:t>
            </w:r>
          </w:p>
        </w:tc>
        <w:tc>
          <w:tcPr>
            <w:tcW w:w="0" w:type="auto"/>
            <w:tcBorders>
              <w:top w:val="single" w:sz="1" w:space="0" w:color="000000"/>
              <w:left w:val="single" w:sz="1" w:space="0" w:color="000000"/>
              <w:bottom w:val="single" w:sz="1" w:space="0" w:color="000000"/>
              <w:right w:val="single" w:sz="1" w:space="0" w:color="000000"/>
            </w:tcBorders>
          </w:tcPr>
          <w:p w14:paraId="2782CA6B" w14:textId="77777777" w:rsidR="00BC203A" w:rsidRDefault="00000000">
            <w:pPr>
              <w:spacing w:before="40" w:after="40"/>
            </w:pPr>
            <w:proofErr w:type="spellStart"/>
            <w:r>
              <w:rPr>
                <w:sz w:val="22"/>
                <w:szCs w:val="22"/>
              </w:rPr>
              <w:t>Biweight</w:t>
            </w:r>
            <w:proofErr w:type="spellEnd"/>
            <w:r>
              <w:rPr>
                <w:sz w:val="22"/>
                <w:szCs w:val="22"/>
              </w:rPr>
              <w:t xml:space="preserve"> and partial correlation</w:t>
            </w:r>
          </w:p>
        </w:tc>
        <w:tc>
          <w:tcPr>
            <w:tcW w:w="0" w:type="auto"/>
            <w:tcBorders>
              <w:top w:val="single" w:sz="1" w:space="0" w:color="000000"/>
              <w:left w:val="single" w:sz="1" w:space="0" w:color="000000"/>
              <w:bottom w:val="single" w:sz="1" w:space="0" w:color="000000"/>
              <w:right w:val="single" w:sz="1" w:space="0" w:color="000000"/>
            </w:tcBorders>
          </w:tcPr>
          <w:p w14:paraId="5F9C3CD7" w14:textId="77777777" w:rsidR="00BC203A" w:rsidRDefault="00000000">
            <w:pPr>
              <w:spacing w:before="40" w:after="40"/>
            </w:pPr>
            <w:r>
              <w:rPr>
                <w:sz w:val="22"/>
                <w:szCs w:val="22"/>
              </w:rPr>
              <w:t>Optional</w:t>
            </w:r>
          </w:p>
        </w:tc>
      </w:tr>
      <w:tr w:rsidR="00BC203A" w14:paraId="5B3FC852"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5D296F40" w14:textId="77777777" w:rsidR="00BC203A" w:rsidRDefault="00000000">
            <w:pPr>
              <w:spacing w:before="40" w:after="40"/>
            </w:pPr>
            <w:proofErr w:type="spellStart"/>
            <w:r>
              <w:rPr>
                <w:sz w:val="22"/>
                <w:szCs w:val="22"/>
              </w:rPr>
              <w:lastRenderedPageBreak/>
              <w:t>corpcor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99DDDDE" w14:textId="77777777" w:rsidR="00BC203A" w:rsidRDefault="00000000">
            <w:pPr>
              <w:spacing w:before="40" w:after="40"/>
            </w:pPr>
            <w:r>
              <w:rPr>
                <w:sz w:val="22"/>
                <w:szCs w:val="22"/>
              </w:rPr>
              <w:t>Shrinkage correlation estimation</w:t>
            </w:r>
          </w:p>
        </w:tc>
        <w:tc>
          <w:tcPr>
            <w:tcW w:w="0" w:type="auto"/>
            <w:tcBorders>
              <w:top w:val="single" w:sz="1" w:space="0" w:color="000000"/>
              <w:left w:val="single" w:sz="1" w:space="0" w:color="000000"/>
              <w:bottom w:val="single" w:sz="1" w:space="0" w:color="000000"/>
              <w:right w:val="single" w:sz="1" w:space="0" w:color="000000"/>
            </w:tcBorders>
          </w:tcPr>
          <w:p w14:paraId="58554B8A" w14:textId="77777777" w:rsidR="00BC203A" w:rsidRDefault="00000000">
            <w:pPr>
              <w:spacing w:before="40" w:after="40"/>
            </w:pPr>
            <w:r>
              <w:rPr>
                <w:sz w:val="22"/>
                <w:szCs w:val="22"/>
              </w:rPr>
              <w:t>Optional</w:t>
            </w:r>
          </w:p>
        </w:tc>
      </w:tr>
      <w:tr w:rsidR="00BC203A" w14:paraId="7363139F"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38F4CDCD" w14:textId="77777777" w:rsidR="00BC203A" w:rsidRDefault="00000000">
            <w:pPr>
              <w:spacing w:before="40" w:after="40"/>
            </w:pPr>
            <w:proofErr w:type="spellStart"/>
            <w:r>
              <w:rPr>
                <w:sz w:val="22"/>
                <w:szCs w:val="22"/>
              </w:rPr>
              <w:t>viridis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2880D69" w14:textId="77777777" w:rsidR="00BC203A" w:rsidRDefault="00000000">
            <w:pPr>
              <w:spacing w:before="40" w:after="40"/>
            </w:pPr>
            <w:proofErr w:type="spellStart"/>
            <w:r>
              <w:rPr>
                <w:sz w:val="22"/>
                <w:szCs w:val="22"/>
              </w:rPr>
              <w:t>Color</w:t>
            </w:r>
            <w:proofErr w:type="spellEnd"/>
            <w:r>
              <w:rPr>
                <w:sz w:val="22"/>
                <w:szCs w:val="22"/>
              </w:rPr>
              <w:t xml:space="preserve"> palettes</w:t>
            </w:r>
          </w:p>
        </w:tc>
        <w:tc>
          <w:tcPr>
            <w:tcW w:w="0" w:type="auto"/>
            <w:tcBorders>
              <w:top w:val="single" w:sz="1" w:space="0" w:color="000000"/>
              <w:left w:val="single" w:sz="1" w:space="0" w:color="000000"/>
              <w:bottom w:val="single" w:sz="1" w:space="0" w:color="000000"/>
              <w:right w:val="single" w:sz="1" w:space="0" w:color="000000"/>
            </w:tcBorders>
          </w:tcPr>
          <w:p w14:paraId="58774A1D" w14:textId="77777777" w:rsidR="00BC203A" w:rsidRDefault="00000000">
            <w:pPr>
              <w:spacing w:before="40" w:after="40"/>
            </w:pPr>
            <w:r>
              <w:rPr>
                <w:sz w:val="22"/>
                <w:szCs w:val="22"/>
              </w:rPr>
              <w:t>Optional</w:t>
            </w:r>
          </w:p>
        </w:tc>
      </w:tr>
      <w:tr w:rsidR="00BC203A" w14:paraId="2B222762"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3AF4B9D7" w14:textId="77777777" w:rsidR="00BC203A" w:rsidRDefault="00000000">
            <w:pPr>
              <w:spacing w:before="40" w:after="40"/>
            </w:pPr>
            <w:r>
              <w:rPr>
                <w:sz w:val="22"/>
                <w:szCs w:val="22"/>
              </w:rPr>
              <w:t>DT</w:t>
            </w:r>
          </w:p>
        </w:tc>
        <w:tc>
          <w:tcPr>
            <w:tcW w:w="0" w:type="auto"/>
            <w:tcBorders>
              <w:top w:val="single" w:sz="1" w:space="0" w:color="000000"/>
              <w:left w:val="single" w:sz="1" w:space="0" w:color="000000"/>
              <w:bottom w:val="single" w:sz="1" w:space="0" w:color="000000"/>
              <w:right w:val="single" w:sz="1" w:space="0" w:color="000000"/>
            </w:tcBorders>
          </w:tcPr>
          <w:p w14:paraId="598A4957" w14:textId="77777777" w:rsidR="00BC203A" w:rsidRDefault="00000000">
            <w:pPr>
              <w:spacing w:before="40" w:after="40"/>
            </w:pPr>
            <w:r>
              <w:rPr>
                <w:sz w:val="22"/>
                <w:szCs w:val="22"/>
              </w:rPr>
              <w:t>Interactive data tables</w:t>
            </w:r>
          </w:p>
        </w:tc>
        <w:tc>
          <w:tcPr>
            <w:tcW w:w="0" w:type="auto"/>
            <w:tcBorders>
              <w:top w:val="single" w:sz="1" w:space="0" w:color="000000"/>
              <w:left w:val="single" w:sz="1" w:space="0" w:color="000000"/>
              <w:bottom w:val="single" w:sz="1" w:space="0" w:color="000000"/>
              <w:right w:val="single" w:sz="1" w:space="0" w:color="000000"/>
            </w:tcBorders>
          </w:tcPr>
          <w:p w14:paraId="292C7F73" w14:textId="77777777" w:rsidR="00BC203A" w:rsidRDefault="00000000">
            <w:pPr>
              <w:spacing w:before="40" w:after="40"/>
            </w:pPr>
            <w:r>
              <w:rPr>
                <w:sz w:val="22"/>
                <w:szCs w:val="22"/>
              </w:rPr>
              <w:t>Required</w:t>
            </w:r>
          </w:p>
        </w:tc>
      </w:tr>
      <w:tr w:rsidR="00BC203A" w14:paraId="5A4A9AD2"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584DB4D0" w14:textId="77777777" w:rsidR="00BC203A" w:rsidRDefault="00000000">
            <w:pPr>
              <w:spacing w:before="40" w:after="40"/>
            </w:pPr>
            <w:proofErr w:type="spellStart"/>
            <w:r>
              <w:rPr>
                <w:sz w:val="22"/>
                <w:szCs w:val="22"/>
              </w:rPr>
              <w:t>shinyjs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81E8414" w14:textId="77777777" w:rsidR="00BC203A" w:rsidRDefault="00000000">
            <w:pPr>
              <w:spacing w:before="40" w:after="40"/>
            </w:pPr>
            <w:r>
              <w:rPr>
                <w:sz w:val="22"/>
                <w:szCs w:val="22"/>
              </w:rPr>
              <w:t>JavaScript integration</w:t>
            </w:r>
          </w:p>
        </w:tc>
        <w:tc>
          <w:tcPr>
            <w:tcW w:w="0" w:type="auto"/>
            <w:tcBorders>
              <w:top w:val="single" w:sz="1" w:space="0" w:color="000000"/>
              <w:left w:val="single" w:sz="1" w:space="0" w:color="000000"/>
              <w:bottom w:val="single" w:sz="1" w:space="0" w:color="000000"/>
              <w:right w:val="single" w:sz="1" w:space="0" w:color="000000"/>
            </w:tcBorders>
          </w:tcPr>
          <w:p w14:paraId="05BDB80E" w14:textId="77777777" w:rsidR="00BC203A" w:rsidRDefault="00000000">
            <w:pPr>
              <w:spacing w:before="40" w:after="40"/>
            </w:pPr>
            <w:r>
              <w:rPr>
                <w:sz w:val="22"/>
                <w:szCs w:val="22"/>
              </w:rPr>
              <w:t>Required</w:t>
            </w:r>
          </w:p>
        </w:tc>
      </w:tr>
      <w:tr w:rsidR="00BC203A" w14:paraId="5BD01A3C"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7B224ACB" w14:textId="77777777" w:rsidR="00BC203A" w:rsidRDefault="00000000">
            <w:pPr>
              <w:spacing w:before="40" w:after="40"/>
            </w:pPr>
            <w:proofErr w:type="spellStart"/>
            <w:r>
              <w:rPr>
                <w:sz w:val="22"/>
                <w:szCs w:val="22"/>
              </w:rPr>
              <w:t>colourpicker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D9C4C26" w14:textId="77777777" w:rsidR="00BC203A" w:rsidRDefault="00000000">
            <w:pPr>
              <w:spacing w:before="40" w:after="40"/>
            </w:pPr>
            <w:proofErr w:type="spellStart"/>
            <w:r>
              <w:rPr>
                <w:sz w:val="22"/>
                <w:szCs w:val="22"/>
              </w:rPr>
              <w:t>Color</w:t>
            </w:r>
            <w:proofErr w:type="spellEnd"/>
            <w:r>
              <w:rPr>
                <w:sz w:val="22"/>
                <w:szCs w:val="22"/>
              </w:rPr>
              <w:t xml:space="preserve"> selection interface</w:t>
            </w:r>
          </w:p>
        </w:tc>
        <w:tc>
          <w:tcPr>
            <w:tcW w:w="0" w:type="auto"/>
            <w:tcBorders>
              <w:top w:val="single" w:sz="1" w:space="0" w:color="000000"/>
              <w:left w:val="single" w:sz="1" w:space="0" w:color="000000"/>
              <w:bottom w:val="single" w:sz="1" w:space="0" w:color="000000"/>
              <w:right w:val="single" w:sz="1" w:space="0" w:color="000000"/>
            </w:tcBorders>
          </w:tcPr>
          <w:p w14:paraId="20223821" w14:textId="77777777" w:rsidR="00BC203A" w:rsidRDefault="00000000">
            <w:pPr>
              <w:spacing w:before="40" w:after="40"/>
            </w:pPr>
            <w:r>
              <w:rPr>
                <w:sz w:val="22"/>
                <w:szCs w:val="22"/>
              </w:rPr>
              <w:t>Required</w:t>
            </w:r>
          </w:p>
        </w:tc>
      </w:tr>
    </w:tbl>
    <w:p w14:paraId="598B5E3D" w14:textId="77777777" w:rsidR="00BC203A" w:rsidRDefault="00000000">
      <w:pPr>
        <w:pStyle w:val="Heading2"/>
        <w:spacing w:before="400" w:after="200"/>
      </w:pPr>
      <w:r>
        <w:t>2.2 Data Input and Preprocessing</w:t>
      </w:r>
    </w:p>
    <w:p w14:paraId="52AB4052" w14:textId="77777777" w:rsidR="00BC203A" w:rsidRDefault="00000000">
      <w:pPr>
        <w:spacing w:before="200" w:after="100"/>
      </w:pPr>
      <w:r>
        <w:rPr>
          <w:b/>
          <w:bCs/>
        </w:rPr>
        <w:t>2.2.1 Supported Data Formats</w:t>
      </w:r>
    </w:p>
    <w:p w14:paraId="0ECF74CA" w14:textId="77777777" w:rsidR="00BC203A" w:rsidRDefault="00000000">
      <w:pPr>
        <w:spacing w:after="200" w:line="480" w:lineRule="auto"/>
        <w:ind w:firstLine="720"/>
        <w:jc w:val="both"/>
      </w:pPr>
      <w:proofErr w:type="spellStart"/>
      <w:r>
        <w:t>ConsensusConnectR</w:t>
      </w:r>
      <w:proofErr w:type="spellEnd"/>
      <w:r>
        <w:t xml:space="preserve"> accepts input data in CSV or Excel format with flexible column mapping. Users specify columns containing subject identifiers, group assignments, and measurement variables through an interactive interface. The software validates data structure and provides informative error messages for common formatting issues. Measurement variables represent activity or signal values from brain regions or nodes that will be used to compute functional connectivity.</w:t>
      </w:r>
    </w:p>
    <w:p w14:paraId="47C02B8B" w14:textId="77777777" w:rsidR="00BC203A" w:rsidRDefault="00000000">
      <w:pPr>
        <w:spacing w:before="200" w:after="100"/>
      </w:pPr>
      <w:r>
        <w:rPr>
          <w:b/>
          <w:bCs/>
        </w:rPr>
        <w:t>2.2.2 Missing Data Handling</w:t>
      </w:r>
    </w:p>
    <w:p w14:paraId="32535C3F" w14:textId="77777777" w:rsidR="00BC203A" w:rsidRDefault="00000000">
      <w:pPr>
        <w:spacing w:after="200" w:line="480" w:lineRule="auto"/>
        <w:ind w:firstLine="720"/>
        <w:jc w:val="both"/>
      </w:pPr>
      <w:r>
        <w:t>Missing data are handled through Multiple Imputation by Chained Equations (MICE; van Buuren and Groothuis-</w:t>
      </w:r>
      <w:proofErr w:type="spellStart"/>
      <w:r>
        <w:t>Oudshoorn</w:t>
      </w:r>
      <w:proofErr w:type="spellEnd"/>
      <w:r>
        <w:t>, 2011), implementing the multiple imputation framework developed by Rubin (1987). The predictive mean matching method is used for imputation. Default parameters specify five imputed datasets (m = 5) with ten iterations per imputation (</w:t>
      </w:r>
      <w:proofErr w:type="spellStart"/>
      <w:r>
        <w:t>maxit</w:t>
      </w:r>
      <w:proofErr w:type="spellEnd"/>
      <w:r>
        <w:t xml:space="preserve"> = 10). The first complete imputed dataset is used for subsequent analysis, and imputation diagnostics are provided for quality assessment including visualization of imputed versus observed value distributions.</w:t>
      </w:r>
    </w:p>
    <w:p w14:paraId="4306B42E" w14:textId="77777777" w:rsidR="00BC203A" w:rsidRDefault="00000000">
      <w:pPr>
        <w:spacing w:after="200" w:line="480" w:lineRule="auto"/>
        <w:jc w:val="both"/>
      </w:pPr>
      <w:r>
        <w:t>The imputation procedure is implemented as:</w:t>
      </w:r>
    </w:p>
    <w:p w14:paraId="733B13A3" w14:textId="77777777" w:rsidR="00BC203A" w:rsidRDefault="00000000">
      <w:pPr>
        <w:spacing w:before="100" w:after="100"/>
        <w:ind w:left="720"/>
      </w:pPr>
      <w:proofErr w:type="spellStart"/>
      <w:r>
        <w:rPr>
          <w:rFonts w:ascii="Courier New" w:eastAsia="Courier New" w:hAnsi="Courier New" w:cs="Courier New"/>
          <w:sz w:val="20"/>
          <w:szCs w:val="20"/>
        </w:rPr>
        <w:t>mice_result</w:t>
      </w:r>
      <w:proofErr w:type="spellEnd"/>
      <w:r>
        <w:rPr>
          <w:rFonts w:ascii="Courier New" w:eastAsia="Courier New" w:hAnsi="Courier New" w:cs="Courier New"/>
          <w:sz w:val="20"/>
          <w:szCs w:val="20"/>
        </w:rPr>
        <w:t xml:space="preserve"> &lt;- mice(data, m = 5, </w:t>
      </w:r>
      <w:proofErr w:type="spellStart"/>
      <w:r>
        <w:rPr>
          <w:rFonts w:ascii="Courier New" w:eastAsia="Courier New" w:hAnsi="Courier New" w:cs="Courier New"/>
          <w:sz w:val="20"/>
          <w:szCs w:val="20"/>
        </w:rPr>
        <w:t>maxit</w:t>
      </w:r>
      <w:proofErr w:type="spellEnd"/>
      <w:r>
        <w:rPr>
          <w:rFonts w:ascii="Courier New" w:eastAsia="Courier New" w:hAnsi="Courier New" w:cs="Courier New"/>
          <w:sz w:val="20"/>
          <w:szCs w:val="20"/>
        </w:rPr>
        <w:t xml:space="preserve"> = 10, method = "</w:t>
      </w:r>
      <w:proofErr w:type="spellStart"/>
      <w:r>
        <w:rPr>
          <w:rFonts w:ascii="Courier New" w:eastAsia="Courier New" w:hAnsi="Courier New" w:cs="Courier New"/>
          <w:sz w:val="20"/>
          <w:szCs w:val="20"/>
        </w:rPr>
        <w:t>pmm</w:t>
      </w:r>
      <w:proofErr w:type="spellEnd"/>
      <w:r>
        <w:rPr>
          <w:rFonts w:ascii="Courier New" w:eastAsia="Courier New" w:hAnsi="Courier New" w:cs="Courier New"/>
          <w:sz w:val="20"/>
          <w:szCs w:val="20"/>
        </w:rPr>
        <w:t>", seed = 123)</w:t>
      </w:r>
    </w:p>
    <w:p w14:paraId="3C6D46A2" w14:textId="77777777" w:rsidR="00BC203A" w:rsidRDefault="00000000">
      <w:pPr>
        <w:spacing w:after="200"/>
        <w:ind w:left="720"/>
      </w:pPr>
      <w:proofErr w:type="spellStart"/>
      <w:r>
        <w:rPr>
          <w:rFonts w:ascii="Courier New" w:eastAsia="Courier New" w:hAnsi="Courier New" w:cs="Courier New"/>
          <w:sz w:val="20"/>
          <w:szCs w:val="20"/>
        </w:rPr>
        <w:t>imputed_data</w:t>
      </w:r>
      <w:proofErr w:type="spellEnd"/>
      <w:r>
        <w:rPr>
          <w:rFonts w:ascii="Courier New" w:eastAsia="Courier New" w:hAnsi="Courier New" w:cs="Courier New"/>
          <w:sz w:val="20"/>
          <w:szCs w:val="20"/>
        </w:rPr>
        <w:t xml:space="preserve"> &lt;- complete(</w:t>
      </w:r>
      <w:proofErr w:type="spellStart"/>
      <w:r>
        <w:rPr>
          <w:rFonts w:ascii="Courier New" w:eastAsia="Courier New" w:hAnsi="Courier New" w:cs="Courier New"/>
          <w:sz w:val="20"/>
          <w:szCs w:val="20"/>
        </w:rPr>
        <w:t>mice_result</w:t>
      </w:r>
      <w:proofErr w:type="spellEnd"/>
      <w:r>
        <w:rPr>
          <w:rFonts w:ascii="Courier New" w:eastAsia="Courier New" w:hAnsi="Courier New" w:cs="Courier New"/>
          <w:sz w:val="20"/>
          <w:szCs w:val="20"/>
        </w:rPr>
        <w:t>, 1)</w:t>
      </w:r>
    </w:p>
    <w:p w14:paraId="473B766A" w14:textId="77777777" w:rsidR="00BC203A" w:rsidRDefault="00000000">
      <w:pPr>
        <w:spacing w:after="200" w:line="480" w:lineRule="auto"/>
        <w:ind w:firstLine="720"/>
        <w:jc w:val="both"/>
      </w:pPr>
      <w:r>
        <w:lastRenderedPageBreak/>
        <w:t>Users may adjust imputation parameters through the settings interface, and imputation is skipped automatically when no missing values are present.</w:t>
      </w:r>
    </w:p>
    <w:p w14:paraId="4F3A97E0" w14:textId="77777777" w:rsidR="00BC203A" w:rsidRDefault="00000000">
      <w:pPr>
        <w:spacing w:before="200" w:after="100"/>
      </w:pPr>
      <w:r>
        <w:rPr>
          <w:b/>
          <w:bCs/>
        </w:rPr>
        <w:t>2.2.3 Anatomical Region Assignment</w:t>
      </w:r>
    </w:p>
    <w:p w14:paraId="15E13E46" w14:textId="77777777" w:rsidR="00BC203A" w:rsidRDefault="00000000">
      <w:pPr>
        <w:spacing w:after="200" w:line="480" w:lineRule="auto"/>
        <w:ind w:firstLine="720"/>
        <w:jc w:val="both"/>
      </w:pPr>
      <w:r>
        <w:t xml:space="preserve">Users define anatomical or functional regions by assigning measurement variables to named groups. This enables region-level aggregation of results and consistent </w:t>
      </w:r>
      <w:proofErr w:type="spellStart"/>
      <w:r>
        <w:t>color</w:t>
      </w:r>
      <w:proofErr w:type="spellEnd"/>
      <w:r>
        <w:t xml:space="preserve"> coding across visualizations. The interface supports custom </w:t>
      </w:r>
      <w:proofErr w:type="spellStart"/>
      <w:r>
        <w:t>color</w:t>
      </w:r>
      <w:proofErr w:type="spellEnd"/>
      <w:r>
        <w:t xml:space="preserve"> assignment for each region, enhancing interpretability of network visualizations. Region definitions are used throughout the analysis pipeline to organize outputs and enable region-level summary statistics.</w:t>
      </w:r>
    </w:p>
    <w:p w14:paraId="7D1ECB5C" w14:textId="77777777" w:rsidR="00BC203A" w:rsidRDefault="00000000">
      <w:pPr>
        <w:pStyle w:val="Heading2"/>
        <w:spacing w:before="400" w:after="200"/>
      </w:pPr>
      <w:r>
        <w:t>2.3 Correlation Methods</w:t>
      </w:r>
    </w:p>
    <w:p w14:paraId="216C70A6" w14:textId="77777777" w:rsidR="00BC203A" w:rsidRDefault="00000000">
      <w:pPr>
        <w:spacing w:after="200" w:line="480" w:lineRule="auto"/>
        <w:ind w:firstLine="720"/>
        <w:jc w:val="both"/>
      </w:pPr>
      <w:proofErr w:type="spellStart"/>
      <w:r>
        <w:t>ConsensusConnectR</w:t>
      </w:r>
      <w:proofErr w:type="spellEnd"/>
      <w:r>
        <w:t xml:space="preserve"> implements five correlation methods representing complementary approaches to quantifying statistical dependencies between brain regions. Table 2 summarizes each method, its statistical properties, and recommended use cases.</w:t>
      </w:r>
    </w:p>
    <w:p w14:paraId="582A5D41" w14:textId="77777777" w:rsidR="00BC203A" w:rsidRDefault="00000000">
      <w:pPr>
        <w:spacing w:before="300" w:after="100"/>
      </w:pPr>
      <w:r>
        <w:rPr>
          <w:b/>
          <w:bCs/>
          <w:i/>
          <w:iCs/>
        </w:rPr>
        <w:t>Table 2. Correlation Methods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3928"/>
        <w:gridCol w:w="2393"/>
        <w:gridCol w:w="1867"/>
      </w:tblGrid>
      <w:tr w:rsidR="00BC203A" w14:paraId="764ADB3D"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E0E0E0"/>
          </w:tcPr>
          <w:p w14:paraId="6C48755B" w14:textId="77777777" w:rsidR="00BC203A" w:rsidRDefault="00000000">
            <w:pPr>
              <w:jc w:val="center"/>
            </w:pPr>
            <w:r>
              <w:rPr>
                <w:b/>
                <w:bCs/>
                <w:sz w:val="22"/>
                <w:szCs w:val="22"/>
              </w:rPr>
              <w:t>Method</w:t>
            </w:r>
          </w:p>
        </w:tc>
        <w:tc>
          <w:tcPr>
            <w:tcW w:w="0" w:type="auto"/>
            <w:tcBorders>
              <w:top w:val="single" w:sz="1" w:space="0" w:color="000000"/>
              <w:left w:val="single" w:sz="1" w:space="0" w:color="000000"/>
              <w:bottom w:val="single" w:sz="1" w:space="0" w:color="000000"/>
              <w:right w:val="single" w:sz="1" w:space="0" w:color="000000"/>
            </w:tcBorders>
            <w:shd w:val="clear" w:color="auto" w:fill="E0E0E0"/>
          </w:tcPr>
          <w:p w14:paraId="32CB0FBB" w14:textId="77777777" w:rsidR="00BC203A" w:rsidRDefault="00000000">
            <w:pPr>
              <w:jc w:val="center"/>
            </w:pPr>
            <w:r>
              <w:rPr>
                <w:b/>
                <w:bCs/>
                <w:sz w:val="22"/>
                <w:szCs w:val="22"/>
              </w:rPr>
              <w:t>Description</w:t>
            </w:r>
          </w:p>
        </w:tc>
        <w:tc>
          <w:tcPr>
            <w:tcW w:w="0" w:type="auto"/>
            <w:tcBorders>
              <w:top w:val="single" w:sz="1" w:space="0" w:color="000000"/>
              <w:left w:val="single" w:sz="1" w:space="0" w:color="000000"/>
              <w:bottom w:val="single" w:sz="1" w:space="0" w:color="000000"/>
              <w:right w:val="single" w:sz="1" w:space="0" w:color="000000"/>
            </w:tcBorders>
            <w:shd w:val="clear" w:color="auto" w:fill="E0E0E0"/>
          </w:tcPr>
          <w:p w14:paraId="33275386" w14:textId="77777777" w:rsidR="00BC203A" w:rsidRDefault="00000000">
            <w:pPr>
              <w:jc w:val="center"/>
            </w:pPr>
            <w:r>
              <w:rPr>
                <w:b/>
                <w:bCs/>
                <w:sz w:val="22"/>
                <w:szCs w:val="22"/>
              </w:rPr>
              <w:t>Properties</w:t>
            </w:r>
          </w:p>
        </w:tc>
        <w:tc>
          <w:tcPr>
            <w:tcW w:w="0" w:type="auto"/>
            <w:tcBorders>
              <w:top w:val="single" w:sz="1" w:space="0" w:color="000000"/>
              <w:left w:val="single" w:sz="1" w:space="0" w:color="000000"/>
              <w:bottom w:val="single" w:sz="1" w:space="0" w:color="000000"/>
              <w:right w:val="single" w:sz="1" w:space="0" w:color="000000"/>
            </w:tcBorders>
            <w:shd w:val="clear" w:color="auto" w:fill="E0E0E0"/>
          </w:tcPr>
          <w:p w14:paraId="06BC0650" w14:textId="77777777" w:rsidR="00BC203A" w:rsidRDefault="00000000">
            <w:pPr>
              <w:jc w:val="center"/>
            </w:pPr>
            <w:r>
              <w:rPr>
                <w:b/>
                <w:bCs/>
                <w:sz w:val="22"/>
                <w:szCs w:val="22"/>
              </w:rPr>
              <w:t>Reference</w:t>
            </w:r>
          </w:p>
        </w:tc>
      </w:tr>
      <w:tr w:rsidR="00BC203A" w14:paraId="3CEA735C"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30C9AB7F" w14:textId="77777777" w:rsidR="00BC203A" w:rsidRDefault="00000000">
            <w:pPr>
              <w:spacing w:before="40" w:after="40"/>
            </w:pPr>
            <w:r>
              <w:rPr>
                <w:sz w:val="22"/>
                <w:szCs w:val="22"/>
              </w:rPr>
              <w:t>Pearson</w:t>
            </w:r>
          </w:p>
        </w:tc>
        <w:tc>
          <w:tcPr>
            <w:tcW w:w="0" w:type="auto"/>
            <w:tcBorders>
              <w:top w:val="single" w:sz="1" w:space="0" w:color="000000"/>
              <w:left w:val="single" w:sz="1" w:space="0" w:color="000000"/>
              <w:bottom w:val="single" w:sz="1" w:space="0" w:color="000000"/>
              <w:right w:val="single" w:sz="1" w:space="0" w:color="000000"/>
            </w:tcBorders>
          </w:tcPr>
          <w:p w14:paraId="43C4F630" w14:textId="77777777" w:rsidR="00BC203A" w:rsidRDefault="00000000">
            <w:pPr>
              <w:spacing w:before="40" w:after="40"/>
            </w:pPr>
            <w:r>
              <w:rPr>
                <w:sz w:val="22"/>
                <w:szCs w:val="22"/>
              </w:rPr>
              <w:t>Product-moment correlation</w:t>
            </w:r>
          </w:p>
        </w:tc>
        <w:tc>
          <w:tcPr>
            <w:tcW w:w="0" w:type="auto"/>
            <w:tcBorders>
              <w:top w:val="single" w:sz="1" w:space="0" w:color="000000"/>
              <w:left w:val="single" w:sz="1" w:space="0" w:color="000000"/>
              <w:bottom w:val="single" w:sz="1" w:space="0" w:color="000000"/>
              <w:right w:val="single" w:sz="1" w:space="0" w:color="000000"/>
            </w:tcBorders>
          </w:tcPr>
          <w:p w14:paraId="76255B1D" w14:textId="77777777" w:rsidR="00BC203A" w:rsidRDefault="00000000">
            <w:pPr>
              <w:spacing w:before="40" w:after="40"/>
            </w:pPr>
            <w:r>
              <w:rPr>
                <w:sz w:val="22"/>
                <w:szCs w:val="22"/>
              </w:rPr>
              <w:t>Linear, parametric</w:t>
            </w:r>
          </w:p>
        </w:tc>
        <w:tc>
          <w:tcPr>
            <w:tcW w:w="0" w:type="auto"/>
            <w:tcBorders>
              <w:top w:val="single" w:sz="1" w:space="0" w:color="000000"/>
              <w:left w:val="single" w:sz="1" w:space="0" w:color="000000"/>
              <w:bottom w:val="single" w:sz="1" w:space="0" w:color="000000"/>
              <w:right w:val="single" w:sz="1" w:space="0" w:color="000000"/>
            </w:tcBorders>
          </w:tcPr>
          <w:p w14:paraId="122552E9" w14:textId="77777777" w:rsidR="00BC203A" w:rsidRDefault="00000000">
            <w:pPr>
              <w:spacing w:before="40" w:after="40"/>
            </w:pPr>
            <w:r>
              <w:rPr>
                <w:sz w:val="22"/>
                <w:szCs w:val="22"/>
              </w:rPr>
              <w:t>Standard</w:t>
            </w:r>
          </w:p>
        </w:tc>
      </w:tr>
      <w:tr w:rsidR="00BC203A" w14:paraId="76D251AB"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09586B8A" w14:textId="77777777" w:rsidR="00BC203A" w:rsidRDefault="00000000">
            <w:pPr>
              <w:spacing w:before="40" w:after="40"/>
            </w:pPr>
            <w:r>
              <w:rPr>
                <w:sz w:val="22"/>
                <w:szCs w:val="22"/>
              </w:rPr>
              <w:t>Spearman</w:t>
            </w:r>
          </w:p>
        </w:tc>
        <w:tc>
          <w:tcPr>
            <w:tcW w:w="0" w:type="auto"/>
            <w:tcBorders>
              <w:top w:val="single" w:sz="1" w:space="0" w:color="000000"/>
              <w:left w:val="single" w:sz="1" w:space="0" w:color="000000"/>
              <w:bottom w:val="single" w:sz="1" w:space="0" w:color="000000"/>
              <w:right w:val="single" w:sz="1" w:space="0" w:color="000000"/>
            </w:tcBorders>
          </w:tcPr>
          <w:p w14:paraId="20223BD1" w14:textId="77777777" w:rsidR="00BC203A" w:rsidRDefault="00000000">
            <w:pPr>
              <w:spacing w:before="40" w:after="40"/>
            </w:pPr>
            <w:r>
              <w:rPr>
                <w:sz w:val="22"/>
                <w:szCs w:val="22"/>
              </w:rPr>
              <w:t>Rank-based correlation</w:t>
            </w:r>
          </w:p>
        </w:tc>
        <w:tc>
          <w:tcPr>
            <w:tcW w:w="0" w:type="auto"/>
            <w:tcBorders>
              <w:top w:val="single" w:sz="1" w:space="0" w:color="000000"/>
              <w:left w:val="single" w:sz="1" w:space="0" w:color="000000"/>
              <w:bottom w:val="single" w:sz="1" w:space="0" w:color="000000"/>
              <w:right w:val="single" w:sz="1" w:space="0" w:color="000000"/>
            </w:tcBorders>
          </w:tcPr>
          <w:p w14:paraId="5C5D7A9F" w14:textId="77777777" w:rsidR="00BC203A" w:rsidRDefault="00000000">
            <w:pPr>
              <w:spacing w:before="40" w:after="40"/>
            </w:pPr>
            <w:r>
              <w:rPr>
                <w:sz w:val="22"/>
                <w:szCs w:val="22"/>
              </w:rPr>
              <w:t>Monotonic, robust</w:t>
            </w:r>
          </w:p>
        </w:tc>
        <w:tc>
          <w:tcPr>
            <w:tcW w:w="0" w:type="auto"/>
            <w:tcBorders>
              <w:top w:val="single" w:sz="1" w:space="0" w:color="000000"/>
              <w:left w:val="single" w:sz="1" w:space="0" w:color="000000"/>
              <w:bottom w:val="single" w:sz="1" w:space="0" w:color="000000"/>
              <w:right w:val="single" w:sz="1" w:space="0" w:color="000000"/>
            </w:tcBorders>
          </w:tcPr>
          <w:p w14:paraId="0935FA5C" w14:textId="77777777" w:rsidR="00BC203A" w:rsidRDefault="00000000">
            <w:pPr>
              <w:spacing w:before="40" w:after="40"/>
            </w:pPr>
            <w:r>
              <w:rPr>
                <w:sz w:val="22"/>
                <w:szCs w:val="22"/>
              </w:rPr>
              <w:t>Standard</w:t>
            </w:r>
          </w:p>
        </w:tc>
      </w:tr>
      <w:tr w:rsidR="00BC203A" w14:paraId="3EAE4D91"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7D93FA70" w14:textId="77777777" w:rsidR="00BC203A" w:rsidRDefault="00000000">
            <w:pPr>
              <w:spacing w:before="40" w:after="40"/>
            </w:pPr>
            <w:proofErr w:type="spellStart"/>
            <w:r>
              <w:rPr>
                <w:sz w:val="22"/>
                <w:szCs w:val="22"/>
              </w:rPr>
              <w:t>Biweight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0FB9B7E" w14:textId="77777777" w:rsidR="00BC203A" w:rsidRDefault="00000000">
            <w:pPr>
              <w:spacing w:before="40" w:after="40"/>
            </w:pPr>
            <w:r>
              <w:rPr>
                <w:sz w:val="22"/>
                <w:szCs w:val="22"/>
              </w:rPr>
              <w:t xml:space="preserve">Tukey </w:t>
            </w:r>
            <w:proofErr w:type="spellStart"/>
            <w:r>
              <w:rPr>
                <w:sz w:val="22"/>
                <w:szCs w:val="22"/>
              </w:rPr>
              <w:t>biweight</w:t>
            </w:r>
            <w:proofErr w:type="spellEnd"/>
            <w:r>
              <w:rPr>
                <w:sz w:val="22"/>
                <w:szCs w:val="22"/>
              </w:rPr>
              <w:t xml:space="preserve"> </w:t>
            </w:r>
            <w:proofErr w:type="spellStart"/>
            <w:r>
              <w:rPr>
                <w:sz w:val="22"/>
                <w:szCs w:val="22"/>
              </w:rPr>
              <w:t>midcorrelation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F88ED8A" w14:textId="77777777" w:rsidR="00BC203A" w:rsidRDefault="00000000">
            <w:pPr>
              <w:spacing w:before="40" w:after="40"/>
            </w:pPr>
            <w:r>
              <w:rPr>
                <w:sz w:val="22"/>
                <w:szCs w:val="22"/>
              </w:rPr>
              <w:t>Robust to outliers</w:t>
            </w:r>
          </w:p>
        </w:tc>
        <w:tc>
          <w:tcPr>
            <w:tcW w:w="0" w:type="auto"/>
            <w:tcBorders>
              <w:top w:val="single" w:sz="1" w:space="0" w:color="000000"/>
              <w:left w:val="single" w:sz="1" w:space="0" w:color="000000"/>
              <w:bottom w:val="single" w:sz="1" w:space="0" w:color="000000"/>
              <w:right w:val="single" w:sz="1" w:space="0" w:color="000000"/>
            </w:tcBorders>
          </w:tcPr>
          <w:p w14:paraId="030DACE4" w14:textId="77777777" w:rsidR="00BC203A" w:rsidRDefault="00000000">
            <w:pPr>
              <w:spacing w:before="40" w:after="40"/>
            </w:pPr>
            <w:r>
              <w:rPr>
                <w:sz w:val="22"/>
                <w:szCs w:val="22"/>
              </w:rPr>
              <w:t>Wilcox (1994)</w:t>
            </w:r>
          </w:p>
        </w:tc>
      </w:tr>
      <w:tr w:rsidR="00BC203A" w14:paraId="7EB9773D"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3FE289FF" w14:textId="77777777" w:rsidR="00BC203A" w:rsidRDefault="00000000">
            <w:pPr>
              <w:spacing w:before="40" w:after="40"/>
            </w:pPr>
            <w:r>
              <w:rPr>
                <w:sz w:val="22"/>
                <w:szCs w:val="22"/>
              </w:rPr>
              <w:t>Shrinkage</w:t>
            </w:r>
          </w:p>
        </w:tc>
        <w:tc>
          <w:tcPr>
            <w:tcW w:w="0" w:type="auto"/>
            <w:tcBorders>
              <w:top w:val="single" w:sz="1" w:space="0" w:color="000000"/>
              <w:left w:val="single" w:sz="1" w:space="0" w:color="000000"/>
              <w:bottom w:val="single" w:sz="1" w:space="0" w:color="000000"/>
              <w:right w:val="single" w:sz="1" w:space="0" w:color="000000"/>
            </w:tcBorders>
          </w:tcPr>
          <w:p w14:paraId="70D4CFB4" w14:textId="77777777" w:rsidR="00BC203A" w:rsidRDefault="00000000">
            <w:pPr>
              <w:spacing w:before="40" w:after="40"/>
            </w:pPr>
            <w:r>
              <w:rPr>
                <w:sz w:val="22"/>
                <w:szCs w:val="22"/>
              </w:rPr>
              <w:t>Regularized correlation estimation</w:t>
            </w:r>
          </w:p>
        </w:tc>
        <w:tc>
          <w:tcPr>
            <w:tcW w:w="0" w:type="auto"/>
            <w:tcBorders>
              <w:top w:val="single" w:sz="1" w:space="0" w:color="000000"/>
              <w:left w:val="single" w:sz="1" w:space="0" w:color="000000"/>
              <w:bottom w:val="single" w:sz="1" w:space="0" w:color="000000"/>
              <w:right w:val="single" w:sz="1" w:space="0" w:color="000000"/>
            </w:tcBorders>
          </w:tcPr>
          <w:p w14:paraId="2F3124F4" w14:textId="77777777" w:rsidR="00BC203A" w:rsidRDefault="00000000">
            <w:pPr>
              <w:spacing w:before="40" w:after="40"/>
            </w:pPr>
            <w:r>
              <w:rPr>
                <w:sz w:val="22"/>
                <w:szCs w:val="22"/>
              </w:rPr>
              <w:t>Stable small samples</w:t>
            </w:r>
          </w:p>
        </w:tc>
        <w:tc>
          <w:tcPr>
            <w:tcW w:w="0" w:type="auto"/>
            <w:tcBorders>
              <w:top w:val="single" w:sz="1" w:space="0" w:color="000000"/>
              <w:left w:val="single" w:sz="1" w:space="0" w:color="000000"/>
              <w:bottom w:val="single" w:sz="1" w:space="0" w:color="000000"/>
              <w:right w:val="single" w:sz="1" w:space="0" w:color="000000"/>
            </w:tcBorders>
          </w:tcPr>
          <w:p w14:paraId="0B636229" w14:textId="77777777" w:rsidR="00BC203A" w:rsidRDefault="00000000">
            <w:pPr>
              <w:spacing w:before="40" w:after="40"/>
            </w:pPr>
            <w:r>
              <w:rPr>
                <w:sz w:val="22"/>
                <w:szCs w:val="22"/>
              </w:rPr>
              <w:t>Schafer (2005)</w:t>
            </w:r>
          </w:p>
        </w:tc>
      </w:tr>
      <w:tr w:rsidR="00BC203A" w14:paraId="1FE3A7D2"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2C204FC7" w14:textId="77777777" w:rsidR="00BC203A" w:rsidRDefault="00000000">
            <w:pPr>
              <w:spacing w:before="40" w:after="40"/>
            </w:pPr>
            <w:r>
              <w:rPr>
                <w:sz w:val="22"/>
                <w:szCs w:val="22"/>
              </w:rPr>
              <w:t>Partial</w:t>
            </w:r>
          </w:p>
        </w:tc>
        <w:tc>
          <w:tcPr>
            <w:tcW w:w="0" w:type="auto"/>
            <w:tcBorders>
              <w:top w:val="single" w:sz="1" w:space="0" w:color="000000"/>
              <w:left w:val="single" w:sz="1" w:space="0" w:color="000000"/>
              <w:bottom w:val="single" w:sz="1" w:space="0" w:color="000000"/>
              <w:right w:val="single" w:sz="1" w:space="0" w:color="000000"/>
            </w:tcBorders>
          </w:tcPr>
          <w:p w14:paraId="6EA15F6E" w14:textId="77777777" w:rsidR="00BC203A" w:rsidRDefault="00000000">
            <w:pPr>
              <w:spacing w:before="40" w:after="40"/>
            </w:pPr>
            <w:r>
              <w:rPr>
                <w:sz w:val="22"/>
                <w:szCs w:val="22"/>
              </w:rPr>
              <w:t>Conditional correlation</w:t>
            </w:r>
          </w:p>
        </w:tc>
        <w:tc>
          <w:tcPr>
            <w:tcW w:w="0" w:type="auto"/>
            <w:tcBorders>
              <w:top w:val="single" w:sz="1" w:space="0" w:color="000000"/>
              <w:left w:val="single" w:sz="1" w:space="0" w:color="000000"/>
              <w:bottom w:val="single" w:sz="1" w:space="0" w:color="000000"/>
              <w:right w:val="single" w:sz="1" w:space="0" w:color="000000"/>
            </w:tcBorders>
          </w:tcPr>
          <w:p w14:paraId="3FD6EC82" w14:textId="77777777" w:rsidR="00BC203A" w:rsidRDefault="00000000">
            <w:pPr>
              <w:spacing w:before="40" w:after="40"/>
            </w:pPr>
            <w:r>
              <w:rPr>
                <w:sz w:val="22"/>
                <w:szCs w:val="22"/>
              </w:rPr>
              <w:t>Direct connections</w:t>
            </w:r>
          </w:p>
        </w:tc>
        <w:tc>
          <w:tcPr>
            <w:tcW w:w="0" w:type="auto"/>
            <w:tcBorders>
              <w:top w:val="single" w:sz="1" w:space="0" w:color="000000"/>
              <w:left w:val="single" w:sz="1" w:space="0" w:color="000000"/>
              <w:bottom w:val="single" w:sz="1" w:space="0" w:color="000000"/>
              <w:right w:val="single" w:sz="1" w:space="0" w:color="000000"/>
            </w:tcBorders>
          </w:tcPr>
          <w:p w14:paraId="333C0048" w14:textId="77777777" w:rsidR="00BC203A" w:rsidRDefault="00000000">
            <w:pPr>
              <w:spacing w:before="40" w:after="40"/>
            </w:pPr>
            <w:proofErr w:type="spellStart"/>
            <w:r>
              <w:rPr>
                <w:sz w:val="22"/>
                <w:szCs w:val="22"/>
              </w:rPr>
              <w:t>Marrelec</w:t>
            </w:r>
            <w:proofErr w:type="spellEnd"/>
            <w:r>
              <w:rPr>
                <w:sz w:val="22"/>
                <w:szCs w:val="22"/>
              </w:rPr>
              <w:t xml:space="preserve"> (2006)</w:t>
            </w:r>
          </w:p>
        </w:tc>
      </w:tr>
    </w:tbl>
    <w:p w14:paraId="7BA9D8B6" w14:textId="77777777" w:rsidR="00BC203A" w:rsidRDefault="00000000">
      <w:pPr>
        <w:spacing w:before="200" w:after="100"/>
      </w:pPr>
      <w:r>
        <w:rPr>
          <w:b/>
          <w:bCs/>
        </w:rPr>
        <w:t>2.3.1 Pearson Correlation</w:t>
      </w:r>
    </w:p>
    <w:p w14:paraId="3DEBAB83" w14:textId="77777777" w:rsidR="00BC203A" w:rsidRDefault="00000000">
      <w:pPr>
        <w:spacing w:after="200" w:line="480" w:lineRule="auto"/>
        <w:ind w:firstLine="720"/>
        <w:jc w:val="both"/>
      </w:pPr>
      <w:r>
        <w:t xml:space="preserve">Pearson product-moment correlation quantifies linear relationships between variables. This standard method assumes bivariate normality and is sensitive to outliers but provides maximum power for detecting linear associations when assumptions are met. Implementation uses the base R </w:t>
      </w:r>
      <w:proofErr w:type="spellStart"/>
      <w:r>
        <w:t>cor</w:t>
      </w:r>
      <w:proofErr w:type="spellEnd"/>
      <w:r>
        <w:t>() function.</w:t>
      </w:r>
    </w:p>
    <w:p w14:paraId="151FA1ED" w14:textId="77777777" w:rsidR="00BC203A" w:rsidRDefault="00000000">
      <w:pPr>
        <w:spacing w:before="200" w:after="100"/>
      </w:pPr>
      <w:r>
        <w:rPr>
          <w:b/>
          <w:bCs/>
        </w:rPr>
        <w:t>2.3.2 Spearman Correlation</w:t>
      </w:r>
    </w:p>
    <w:p w14:paraId="7993B2B2" w14:textId="77777777" w:rsidR="00BC203A" w:rsidRDefault="00000000">
      <w:pPr>
        <w:spacing w:after="200" w:line="480" w:lineRule="auto"/>
        <w:ind w:firstLine="720"/>
        <w:jc w:val="both"/>
      </w:pPr>
      <w:r>
        <w:lastRenderedPageBreak/>
        <w:t xml:space="preserve">Spearman correlation applies Pearson correlation to rank-transformed data, providing a nonparametric measure of monotonic association. This method accommodates nonlinear monotonic relationships and provides robustness to outliers through rank transformation. Implementation uses </w:t>
      </w:r>
      <w:proofErr w:type="spellStart"/>
      <w:r>
        <w:t>cor</w:t>
      </w:r>
      <w:proofErr w:type="spellEnd"/>
      <w:r>
        <w:t>() with method = "spearman".</w:t>
      </w:r>
    </w:p>
    <w:p w14:paraId="323B604F" w14:textId="77777777" w:rsidR="00BC203A" w:rsidRDefault="00000000">
      <w:pPr>
        <w:spacing w:before="200" w:after="100"/>
      </w:pPr>
      <w:r>
        <w:rPr>
          <w:b/>
          <w:bCs/>
        </w:rPr>
        <w:t xml:space="preserve">2.3.3 </w:t>
      </w:r>
      <w:proofErr w:type="spellStart"/>
      <w:r>
        <w:rPr>
          <w:b/>
          <w:bCs/>
        </w:rPr>
        <w:t>Biweight</w:t>
      </w:r>
      <w:proofErr w:type="spellEnd"/>
      <w:r>
        <w:rPr>
          <w:b/>
          <w:bCs/>
        </w:rPr>
        <w:t xml:space="preserve"> </w:t>
      </w:r>
      <w:proofErr w:type="spellStart"/>
      <w:r>
        <w:rPr>
          <w:b/>
          <w:bCs/>
        </w:rPr>
        <w:t>Midcorrelation</w:t>
      </w:r>
      <w:proofErr w:type="spellEnd"/>
    </w:p>
    <w:p w14:paraId="2AEA841A" w14:textId="77777777" w:rsidR="00BC203A" w:rsidRDefault="00000000">
      <w:pPr>
        <w:spacing w:after="200" w:line="480" w:lineRule="auto"/>
        <w:ind w:firstLine="720"/>
        <w:jc w:val="both"/>
      </w:pPr>
      <w:proofErr w:type="spellStart"/>
      <w:r>
        <w:t>Biweight</w:t>
      </w:r>
      <w:proofErr w:type="spellEnd"/>
      <w:r>
        <w:t xml:space="preserve"> </w:t>
      </w:r>
      <w:proofErr w:type="spellStart"/>
      <w:r>
        <w:t>midcorrelation</w:t>
      </w:r>
      <w:proofErr w:type="spellEnd"/>
      <w:r>
        <w:t xml:space="preserve"> provides a robust correlation estimate using Tukey's </w:t>
      </w:r>
      <w:proofErr w:type="spellStart"/>
      <w:r>
        <w:t>biweight</w:t>
      </w:r>
      <w:proofErr w:type="spellEnd"/>
      <w:r>
        <w:t xml:space="preserve"> M-estimator, which down-weights observations far from the </w:t>
      </w:r>
      <w:proofErr w:type="spellStart"/>
      <w:r>
        <w:t>center</w:t>
      </w:r>
      <w:proofErr w:type="spellEnd"/>
      <w:r>
        <w:t xml:space="preserve"> of the distribution. This method provides excellent resistance to outliers while maintaining high efficiency for normal data (Wilcox, 1994; Langfelder and Horvath, 2012). Implementation uses the </w:t>
      </w:r>
      <w:proofErr w:type="spellStart"/>
      <w:r>
        <w:t>bicorMidweight</w:t>
      </w:r>
      <w:proofErr w:type="spellEnd"/>
      <w:r>
        <w:t>() function from the psych package (Revelle, 2024), with automatic fallback to Pearson correlation when psych is unavailable.</w:t>
      </w:r>
    </w:p>
    <w:p w14:paraId="01DAA547" w14:textId="77777777" w:rsidR="00BC203A" w:rsidRDefault="00000000">
      <w:pPr>
        <w:spacing w:before="200" w:after="100"/>
      </w:pPr>
      <w:r>
        <w:rPr>
          <w:b/>
          <w:bCs/>
        </w:rPr>
        <w:t>2.3.4 Shrinkage Correlation</w:t>
      </w:r>
    </w:p>
    <w:p w14:paraId="3C034160" w14:textId="77777777" w:rsidR="00BC203A" w:rsidRDefault="00000000">
      <w:pPr>
        <w:spacing w:after="200" w:line="480" w:lineRule="auto"/>
        <w:ind w:firstLine="720"/>
        <w:jc w:val="both"/>
      </w:pPr>
      <w:r>
        <w:t xml:space="preserve">Shrinkage estimation regularizes the sample correlation matrix toward a structured target to improve stability with limited samples. The shrinkage intensity is estimated from the data. This approach is particularly valuable for small-sample studies where sample correlation matrices may be poorly conditioned or non-positive definite (Schafer and Strimmer, 2005; </w:t>
      </w:r>
      <w:proofErr w:type="spellStart"/>
      <w:r>
        <w:t>Ledoit</w:t>
      </w:r>
      <w:proofErr w:type="spellEnd"/>
      <w:r>
        <w:t xml:space="preserve"> and Wolf, 2004). Implementation uses </w:t>
      </w:r>
      <w:proofErr w:type="spellStart"/>
      <w:r>
        <w:t>cor.shrink</w:t>
      </w:r>
      <w:proofErr w:type="spellEnd"/>
      <w:r>
        <w:t xml:space="preserve">() from the </w:t>
      </w:r>
      <w:proofErr w:type="spellStart"/>
      <w:r>
        <w:t>corpcor</w:t>
      </w:r>
      <w:proofErr w:type="spellEnd"/>
      <w:r>
        <w:t xml:space="preserve"> package (Schafer et al., 2021).</w:t>
      </w:r>
    </w:p>
    <w:p w14:paraId="63EFDCA3" w14:textId="77777777" w:rsidR="00BC203A" w:rsidRDefault="00000000">
      <w:pPr>
        <w:spacing w:before="200" w:after="100"/>
      </w:pPr>
      <w:r>
        <w:rPr>
          <w:b/>
          <w:bCs/>
        </w:rPr>
        <w:t>2.3.5 Partial Correlation</w:t>
      </w:r>
    </w:p>
    <w:p w14:paraId="03F0451E" w14:textId="77777777" w:rsidR="00BC203A" w:rsidRDefault="00000000">
      <w:pPr>
        <w:spacing w:after="200" w:line="480" w:lineRule="auto"/>
        <w:ind w:firstLine="720"/>
        <w:jc w:val="both"/>
      </w:pPr>
      <w:r>
        <w:t>Partial correlation quantifies the linear relationship between two variables after controlling for the influence of all other variables. This method aims to identify direct connections by removing confounding influences, though estimates become unstable when the number of control variables approaches the sample size (</w:t>
      </w:r>
      <w:proofErr w:type="spellStart"/>
      <w:r>
        <w:t>Marrelec</w:t>
      </w:r>
      <w:proofErr w:type="spellEnd"/>
      <w:r>
        <w:t xml:space="preserve"> et al., 2006). Implementation uses </w:t>
      </w:r>
      <w:proofErr w:type="spellStart"/>
      <w:r>
        <w:t>partial.r</w:t>
      </w:r>
      <w:proofErr w:type="spellEnd"/>
      <w:r>
        <w:t>() from the psych package, with warnings provided when sample size is insufficient for stable estimation.</w:t>
      </w:r>
    </w:p>
    <w:p w14:paraId="33983297" w14:textId="77777777" w:rsidR="00BC203A" w:rsidRDefault="00000000">
      <w:pPr>
        <w:spacing w:before="200" w:after="100"/>
      </w:pPr>
      <w:r>
        <w:rPr>
          <w:b/>
          <w:bCs/>
        </w:rPr>
        <w:lastRenderedPageBreak/>
        <w:t>2.3.6 Method Selection and Fallbacks</w:t>
      </w:r>
    </w:p>
    <w:p w14:paraId="70D9A883" w14:textId="77777777" w:rsidR="00BC203A" w:rsidRDefault="00000000">
      <w:pPr>
        <w:spacing w:after="200" w:line="480" w:lineRule="auto"/>
        <w:ind w:firstLine="720"/>
        <w:jc w:val="both"/>
      </w:pPr>
      <w:r>
        <w:t>Users select correlation methods through checkbox interfaces, and all selected methods are computed in parallel. When optional packages are unavailable, the software provides informative messages and automatically falls back to available methods. Pearson correlation is always available as the base method. Warnings are provided when sample size limitations may affect the reliability of specific methods.</w:t>
      </w:r>
    </w:p>
    <w:p w14:paraId="6922ABBD" w14:textId="77777777" w:rsidR="00BC203A" w:rsidRDefault="00000000">
      <w:pPr>
        <w:pStyle w:val="Heading2"/>
        <w:spacing w:before="400" w:after="200"/>
      </w:pPr>
      <w:r>
        <w:t>2.4 Analytical Approaches</w:t>
      </w:r>
    </w:p>
    <w:p w14:paraId="72235F21" w14:textId="77777777" w:rsidR="00BC203A" w:rsidRDefault="00000000">
      <w:pPr>
        <w:spacing w:after="200" w:line="480" w:lineRule="auto"/>
        <w:ind w:firstLine="720"/>
        <w:jc w:val="both"/>
      </w:pPr>
      <w:proofErr w:type="spellStart"/>
      <w:r>
        <w:t>ConsensusConnectR</w:t>
      </w:r>
      <w:proofErr w:type="spellEnd"/>
      <w:r>
        <w:t xml:space="preserve"> implements three analytical approaches for network construction and metric computation, representing complementary strategies for handling the network thresholding problem.</w:t>
      </w:r>
    </w:p>
    <w:p w14:paraId="52055D4A" w14:textId="77777777" w:rsidR="00BC203A" w:rsidRDefault="00000000">
      <w:pPr>
        <w:spacing w:before="200" w:after="100"/>
      </w:pPr>
      <w:r>
        <w:rPr>
          <w:b/>
          <w:bCs/>
        </w:rPr>
        <w:t>2.4.1 Weighted Network Analysis</w:t>
      </w:r>
    </w:p>
    <w:p w14:paraId="32D8B3BB" w14:textId="77777777" w:rsidR="00BC203A" w:rsidRDefault="00000000">
      <w:pPr>
        <w:spacing w:after="200" w:line="480" w:lineRule="auto"/>
        <w:ind w:firstLine="720"/>
        <w:jc w:val="both"/>
      </w:pPr>
      <w:r>
        <w:t xml:space="preserve">Weighted network analysis preserves the full correlation matrix without thresholding, computing network metrics on the weighted adjacency matrix. Edge weights correspond to absolute correlation values, and network metrics account for connection strengths. Key weighted metrics include node strength (sum of edge weights connected to each node), weighted clustering coefficient (proportion of weighted triangles relative to possible triangles, following Barrat et al. (2004) and </w:t>
      </w:r>
      <w:proofErr w:type="spellStart"/>
      <w:r>
        <w:t>Onnela</w:t>
      </w:r>
      <w:proofErr w:type="spellEnd"/>
      <w:r>
        <w:t xml:space="preserve"> et al. (2005)), and weighted eigenvector centrality (eigenvector of the weighted adjacency matrix corresponding to the largest eigenvalue). This approach preserves continuous information about connection strengths but may be dominated by strong connections in heterogeneous networks.</w:t>
      </w:r>
    </w:p>
    <w:p w14:paraId="3E73CA3A" w14:textId="77777777" w:rsidR="00BC203A" w:rsidRDefault="00000000">
      <w:pPr>
        <w:spacing w:before="200" w:after="100"/>
      </w:pPr>
      <w:r>
        <w:rPr>
          <w:b/>
          <w:bCs/>
        </w:rPr>
        <w:t>2.4.2 Percolation-Based Analysis</w:t>
      </w:r>
    </w:p>
    <w:p w14:paraId="7B21DCDF" w14:textId="77777777" w:rsidR="00BC203A" w:rsidRDefault="00000000">
      <w:pPr>
        <w:spacing w:after="200" w:line="480" w:lineRule="auto"/>
        <w:ind w:firstLine="720"/>
        <w:jc w:val="both"/>
      </w:pPr>
      <w:r>
        <w:t xml:space="preserve">Percolation analysis identifies an optimal threshold through systematic evaluation of network fragmentation across a range of thresholds. The algorithm creates binary adjacency </w:t>
      </w:r>
      <w:r>
        <w:lastRenderedPageBreak/>
        <w:t>matrices at each threshold in [0.01, 0.95] with step 0.01, computes giant component size (largest connected subgraph), and records number of components and edge density. The optimal threshold is identified as the highest threshold maintaining full network connectivity, or the threshold at maximum curvature of the giant component curve if full connectivity is not achieved. Network metrics are then computed on the binary network at the optimal threshold. This approach provides a principled, data-driven method for threshold selection based on network topology rather than arbitrary conventions.</w:t>
      </w:r>
    </w:p>
    <w:p w14:paraId="5D2353FE" w14:textId="77777777" w:rsidR="00BC203A" w:rsidRDefault="00000000">
      <w:pPr>
        <w:spacing w:before="200" w:after="100"/>
      </w:pPr>
      <w:r>
        <w:rPr>
          <w:b/>
          <w:bCs/>
        </w:rPr>
        <w:t>2.4.3 Persistence-Based Analysis</w:t>
      </w:r>
    </w:p>
    <w:p w14:paraId="2F5A1037" w14:textId="77777777" w:rsidR="00BC203A" w:rsidRDefault="00000000">
      <w:pPr>
        <w:spacing w:after="200" w:line="480" w:lineRule="auto"/>
        <w:ind w:firstLine="720"/>
        <w:jc w:val="both"/>
      </w:pPr>
      <w:r>
        <w:t xml:space="preserve">Persistence analysis computes network metrics across a range of thresholds and integrates results through area under the curve (AUC) computation. This </w:t>
      </w:r>
      <w:proofErr w:type="spellStart"/>
      <w:r>
        <w:t>filtrational</w:t>
      </w:r>
      <w:proofErr w:type="spellEnd"/>
      <w:r>
        <w:t xml:space="preserve"> approach captures node importance across the full threshold range rather than at a single point. For each threshold, binary networks are created and node-level metrics (degree, betweenness, eigenvector centrality) are computed. AUC values across thresholds represent cumulative importance across the filtration, providing robustness to arbitrary threshold selection. Nodes that are consistently important across thresholds will have high AUC values regardless of the specific threshold chosen for final analysis.</w:t>
      </w:r>
    </w:p>
    <w:p w14:paraId="2D2CD8C3" w14:textId="77777777" w:rsidR="00BC203A" w:rsidRDefault="00000000">
      <w:pPr>
        <w:pStyle w:val="Heading2"/>
        <w:spacing w:before="400" w:after="200"/>
      </w:pPr>
      <w:r>
        <w:t>2.5 Network Metrics</w:t>
      </w:r>
    </w:p>
    <w:p w14:paraId="2C846EF5" w14:textId="77777777" w:rsidR="00BC203A" w:rsidRDefault="00000000">
      <w:pPr>
        <w:spacing w:after="200" w:line="480" w:lineRule="auto"/>
        <w:ind w:firstLine="720"/>
        <w:jc w:val="both"/>
      </w:pPr>
      <w:proofErr w:type="spellStart"/>
      <w:r>
        <w:t>ConsensusConnectR</w:t>
      </w:r>
      <w:proofErr w:type="spellEnd"/>
      <w:r>
        <w:t xml:space="preserve"> computes comprehensive network metrics at both node and global levels, consistent with standard graph-theoretic approaches to brain network analysis (Rubinov and </w:t>
      </w:r>
      <w:proofErr w:type="spellStart"/>
      <w:r>
        <w:t>Sporns</w:t>
      </w:r>
      <w:proofErr w:type="spellEnd"/>
      <w:r>
        <w:t>, 2010).</w:t>
      </w:r>
    </w:p>
    <w:p w14:paraId="6FA176BB" w14:textId="77777777" w:rsidR="00BC203A" w:rsidRDefault="00000000">
      <w:pPr>
        <w:spacing w:before="200" w:after="100"/>
      </w:pPr>
      <w:r>
        <w:rPr>
          <w:b/>
          <w:bCs/>
        </w:rPr>
        <w:t>2.5.1 Node-Level Metrics</w:t>
      </w:r>
    </w:p>
    <w:p w14:paraId="2054D9F3" w14:textId="77777777" w:rsidR="00BC203A" w:rsidRDefault="00000000">
      <w:pPr>
        <w:spacing w:after="200" w:line="480" w:lineRule="auto"/>
        <w:ind w:firstLine="720"/>
        <w:jc w:val="both"/>
      </w:pPr>
      <w:r>
        <w:t xml:space="preserve">Centrality measures quantify the importance or influence of nodes within a network (Freeman, 1978; </w:t>
      </w:r>
      <w:proofErr w:type="spellStart"/>
      <w:r>
        <w:t>Bonacich</w:t>
      </w:r>
      <w:proofErr w:type="spellEnd"/>
      <w:r>
        <w:t xml:space="preserve">, 1987). </w:t>
      </w:r>
      <w:proofErr w:type="spellStart"/>
      <w:r>
        <w:t>ConsensusConnectR</w:t>
      </w:r>
      <w:proofErr w:type="spellEnd"/>
      <w:r>
        <w:t xml:space="preserve"> computes degree centrality (number of connections to other nodes), betweenness centrality (proportion of shortest paths passing through </w:t>
      </w:r>
      <w:r>
        <w:lastRenderedPageBreak/>
        <w:t xml:space="preserve">the node), closeness centrality (inverse of average shortest path length to all other nodes), eigenvector centrality (component of the principal eigenvector of the adjacency matrix, representing importance based on connections to other important nodes), and clustering coefficient (proportion of a node's </w:t>
      </w:r>
      <w:proofErr w:type="spellStart"/>
      <w:r>
        <w:t>neighbors</w:t>
      </w:r>
      <w:proofErr w:type="spellEnd"/>
      <w:r>
        <w:t xml:space="preserve"> that are themselves connected).</w:t>
      </w:r>
    </w:p>
    <w:p w14:paraId="7239F60C" w14:textId="77777777" w:rsidR="00BC203A" w:rsidRDefault="00000000">
      <w:pPr>
        <w:spacing w:before="200" w:after="100"/>
      </w:pPr>
      <w:r>
        <w:rPr>
          <w:b/>
          <w:bCs/>
        </w:rPr>
        <w:t>2.5.2 Global Network Metrics</w:t>
      </w:r>
    </w:p>
    <w:p w14:paraId="34A12219" w14:textId="77777777" w:rsidR="00BC203A" w:rsidRDefault="00000000">
      <w:pPr>
        <w:spacing w:after="200" w:line="480" w:lineRule="auto"/>
        <w:ind w:firstLine="720"/>
        <w:jc w:val="both"/>
      </w:pPr>
      <w:r>
        <w:t xml:space="preserve">Global metrics include network density (proportion of possible connections that are present), global clustering coefficient (average of node-level clustering coefficients), characteristic path length (average shortest path length between all node pairs), modularity (degree to which the network can be partitioned into non-overlapping modules with dense internal connections and sparse connections between modules; Newman, 2006; Blondel et al., 2008), and small-world coefficient (ratio of clustering to path length relative to random networks with matched degree distribution; Watts and </w:t>
      </w:r>
      <w:proofErr w:type="spellStart"/>
      <w:r>
        <w:t>Strogatz</w:t>
      </w:r>
      <w:proofErr w:type="spellEnd"/>
      <w:r>
        <w:t xml:space="preserve">, 1998). All metrics are computed using the </w:t>
      </w:r>
      <w:proofErr w:type="spellStart"/>
      <w:r>
        <w:t>igraph</w:t>
      </w:r>
      <w:proofErr w:type="spellEnd"/>
      <w:r>
        <w:t xml:space="preserve"> package (</w:t>
      </w:r>
      <w:proofErr w:type="spellStart"/>
      <w:r>
        <w:t>Csardi</w:t>
      </w:r>
      <w:proofErr w:type="spellEnd"/>
      <w:r>
        <w:t xml:space="preserve"> and </w:t>
      </w:r>
      <w:proofErr w:type="spellStart"/>
      <w:r>
        <w:t>Nepusz</w:t>
      </w:r>
      <w:proofErr w:type="spellEnd"/>
      <w:r>
        <w:t>, 2006).</w:t>
      </w:r>
    </w:p>
    <w:p w14:paraId="24A5D6C0" w14:textId="77777777" w:rsidR="00BC203A" w:rsidRDefault="00000000">
      <w:pPr>
        <w:pStyle w:val="Heading2"/>
        <w:spacing w:before="400" w:after="200"/>
      </w:pPr>
      <w:r>
        <w:t>2.6 Consensus Framework</w:t>
      </w:r>
    </w:p>
    <w:p w14:paraId="092C4A09" w14:textId="77777777" w:rsidR="00BC203A" w:rsidRDefault="00000000">
      <w:pPr>
        <w:spacing w:after="200" w:line="480" w:lineRule="auto"/>
        <w:ind w:firstLine="720"/>
        <w:jc w:val="both"/>
      </w:pPr>
      <w:r>
        <w:t>The consensus framework synthesizes results across all method-approach combinations to identify network features robust to methodological choices. This approach draws on ensemble methods in machine learning (Dietterich, 2000) and consensus clustering in network analysis (</w:t>
      </w:r>
      <w:proofErr w:type="spellStart"/>
      <w:r>
        <w:t>Lancichinetti</w:t>
      </w:r>
      <w:proofErr w:type="spellEnd"/>
      <w:r>
        <w:t xml:space="preserve"> and Fortunato, 2012; Strehl and Ghosh, 2002), which demonstrate that aggregating results across multiple methods reduces variance and improves reliability.</w:t>
      </w:r>
    </w:p>
    <w:p w14:paraId="0320FD49" w14:textId="77777777" w:rsidR="00BC203A" w:rsidRDefault="00000000">
      <w:pPr>
        <w:spacing w:before="200" w:after="100"/>
      </w:pPr>
      <w:r>
        <w:rPr>
          <w:b/>
          <w:bCs/>
        </w:rPr>
        <w:t>2.6.1 Standardization Across Methods</w:t>
      </w:r>
    </w:p>
    <w:p w14:paraId="23A18DF9" w14:textId="77777777" w:rsidR="00BC203A" w:rsidRDefault="00000000">
      <w:pPr>
        <w:spacing w:after="200" w:line="480" w:lineRule="auto"/>
        <w:ind w:firstLine="720"/>
        <w:jc w:val="both"/>
      </w:pPr>
      <w:r>
        <w:t>To enable comparison across methods with different scales, eigenvector centrality values are transformed to z-scores within each method-approach combination. This standardization places all method-approach combinations on a common scale for aggregation.</w:t>
      </w:r>
    </w:p>
    <w:p w14:paraId="07D042A2" w14:textId="77777777" w:rsidR="00BC203A" w:rsidRDefault="00000000">
      <w:pPr>
        <w:spacing w:before="200" w:after="100"/>
      </w:pPr>
      <w:r>
        <w:rPr>
          <w:b/>
          <w:bCs/>
        </w:rPr>
        <w:lastRenderedPageBreak/>
        <w:t>2.6.2 Hub Identification</w:t>
      </w:r>
    </w:p>
    <w:p w14:paraId="5B98FBAB" w14:textId="77777777" w:rsidR="00BC203A" w:rsidRDefault="00000000">
      <w:pPr>
        <w:spacing w:after="200" w:line="480" w:lineRule="auto"/>
        <w:ind w:firstLine="720"/>
        <w:jc w:val="both"/>
      </w:pPr>
      <w:r>
        <w:t xml:space="preserve">Network hubs are nodes that play disproportionately important roles in network communication and integration (van den Heuvel and </w:t>
      </w:r>
      <w:proofErr w:type="spellStart"/>
      <w:r>
        <w:t>Sporns</w:t>
      </w:r>
      <w:proofErr w:type="spellEnd"/>
      <w:r>
        <w:t>, 2013; Power et al., 2013). Nodes are classified as hubs within each method-approach combination based on standardized eigenvector centrality exceeding a threshold (default Z ≥ 1.5, user adjustable). Hub probability is computed as the proportion of method-approach combinations identifying each node as a hub. Nodes with high hub probability are consistently identified as important across methodological approaches.</w:t>
      </w:r>
    </w:p>
    <w:p w14:paraId="16FBBF84" w14:textId="77777777" w:rsidR="00BC203A" w:rsidRDefault="00000000">
      <w:pPr>
        <w:spacing w:before="200" w:after="100"/>
      </w:pPr>
      <w:r>
        <w:rPr>
          <w:b/>
          <w:bCs/>
        </w:rPr>
        <w:t>2.6.3 Bayesian Confidence-Weighted Consensus</w:t>
      </w:r>
    </w:p>
    <w:p w14:paraId="52EEF01C" w14:textId="77777777" w:rsidR="00BC203A" w:rsidRDefault="00000000">
      <w:pPr>
        <w:spacing w:after="200" w:line="480" w:lineRule="auto"/>
        <w:ind w:firstLine="720"/>
        <w:jc w:val="both"/>
      </w:pPr>
      <w:r>
        <w:t xml:space="preserve">To incorporate uncertainty in hub identification, </w:t>
      </w:r>
      <w:proofErr w:type="spellStart"/>
      <w:r>
        <w:t>ConsensusConnectR</w:t>
      </w:r>
      <w:proofErr w:type="spellEnd"/>
      <w:r>
        <w:t xml:space="preserve"> implements Bayesian confidence weighting. Prior hub probability is set to 0.15 based on typical network hub proportions. Weights are assigned based on the inverse coefficient of variation (consistency) of eigenvector centrality estimates across correlation methods within each analytical approach. The consensus score incorporates both hub probability and consistency. Credible intervals are computed to quantify uncertainty in consensus hub scores.</w:t>
      </w:r>
    </w:p>
    <w:p w14:paraId="337E551D" w14:textId="77777777" w:rsidR="00BC203A" w:rsidRDefault="00000000">
      <w:pPr>
        <w:spacing w:before="200" w:after="100"/>
      </w:pPr>
      <w:r>
        <w:rPr>
          <w:b/>
          <w:bCs/>
        </w:rPr>
        <w:t>2.6.4 Cross-Approach Aggregation</w:t>
      </w:r>
    </w:p>
    <w:p w14:paraId="10940571" w14:textId="77777777" w:rsidR="00BC203A" w:rsidRDefault="00000000">
      <w:pPr>
        <w:spacing w:after="200" w:line="480" w:lineRule="auto"/>
        <w:ind w:firstLine="720"/>
        <w:jc w:val="both"/>
      </w:pPr>
      <w:r>
        <w:t>Consensus metrics are computed at multiple levels: within-approach consensus (agreement across correlation methods within each analytical approach), meta-consensus (agreement across all 15 method-approach combinations), and confidence categorization (high confidence: hub identified in &gt;12 of 15 combinations; medium confidence: 8-12 combinations; low confidence: &lt;8 combinations). This hierarchical aggregation enables assessment of which network features are robust specifically to correlation method choice versus analytical approach choice.</w:t>
      </w:r>
    </w:p>
    <w:p w14:paraId="19A1739B" w14:textId="77777777" w:rsidR="00BC203A" w:rsidRDefault="00000000">
      <w:pPr>
        <w:pStyle w:val="Heading2"/>
        <w:spacing w:before="400" w:after="200"/>
      </w:pPr>
      <w:r>
        <w:t>2.7 Statistical Testing</w:t>
      </w:r>
    </w:p>
    <w:p w14:paraId="61DCB395" w14:textId="77777777" w:rsidR="00BC203A" w:rsidRDefault="00000000">
      <w:pPr>
        <w:spacing w:before="200" w:after="100"/>
      </w:pPr>
      <w:r>
        <w:rPr>
          <w:b/>
          <w:bCs/>
        </w:rPr>
        <w:t>2.7.1 Permutation Testing</w:t>
      </w:r>
    </w:p>
    <w:p w14:paraId="6AE256C2" w14:textId="77777777" w:rsidR="00BC203A" w:rsidRDefault="00000000">
      <w:pPr>
        <w:spacing w:after="200" w:line="480" w:lineRule="auto"/>
        <w:ind w:firstLine="720"/>
        <w:jc w:val="both"/>
      </w:pPr>
      <w:proofErr w:type="spellStart"/>
      <w:r>
        <w:lastRenderedPageBreak/>
        <w:t>ConsensusConnectR</w:t>
      </w:r>
      <w:proofErr w:type="spellEnd"/>
      <w:r>
        <w:t xml:space="preserve"> implements permutation testing to assess statistical significance of network metric differences between groups. The procedure computes observed difference in network metric between groups, then for each permutation (default n = 1000), randomly shuffles group labels, recomputes network metrics for permuted groups, and computes difference in permuted metrics. The p-value is calculated as proportion of permuted differences exceeding observed difference. This non-parametric approach avoids distributional assumptions about network metrics, which typically do not follow standard distributions.</w:t>
      </w:r>
    </w:p>
    <w:p w14:paraId="08274572" w14:textId="77777777" w:rsidR="00BC203A" w:rsidRDefault="00000000">
      <w:pPr>
        <w:spacing w:before="200" w:after="100"/>
      </w:pPr>
      <w:r>
        <w:rPr>
          <w:b/>
          <w:bCs/>
        </w:rPr>
        <w:t>2.7.2 Group Comparisons</w:t>
      </w:r>
    </w:p>
    <w:p w14:paraId="659FC85B" w14:textId="77777777" w:rsidR="00BC203A" w:rsidRDefault="00000000">
      <w:pPr>
        <w:spacing w:after="200" w:line="480" w:lineRule="auto"/>
        <w:ind w:firstLine="720"/>
        <w:jc w:val="both"/>
      </w:pPr>
      <w:r>
        <w:t xml:space="preserve">For studies with multiple groups, </w:t>
      </w:r>
      <w:proofErr w:type="spellStart"/>
      <w:r>
        <w:t>ConsensusConnectR</w:t>
      </w:r>
      <w:proofErr w:type="spellEnd"/>
      <w:r>
        <w:t xml:space="preserve"> provides node-level metric comparisons across groups, edge-wise correlation comparisons (which connections differ between conditions), global network metric comparisons (density, clustering, path length), and false discovery rate correction for multiple comparisons.</w:t>
      </w:r>
    </w:p>
    <w:p w14:paraId="3DD62FC3" w14:textId="77777777" w:rsidR="00BC203A" w:rsidRDefault="00000000">
      <w:pPr>
        <w:pStyle w:val="Heading2"/>
        <w:spacing w:before="400" w:after="200"/>
      </w:pPr>
      <w:r>
        <w:t>2.8 Visualization</w:t>
      </w:r>
    </w:p>
    <w:p w14:paraId="5CF32A79" w14:textId="77777777" w:rsidR="00BC203A" w:rsidRDefault="00000000">
      <w:pPr>
        <w:spacing w:after="200" w:line="480" w:lineRule="auto"/>
        <w:ind w:firstLine="720"/>
        <w:jc w:val="both"/>
      </w:pPr>
      <w:proofErr w:type="spellStart"/>
      <w:r>
        <w:t>ConsensusConnectR</w:t>
      </w:r>
      <w:proofErr w:type="spellEnd"/>
      <w:r>
        <w:t xml:space="preserve"> generates comprehensive visualizations for all analysis stages using ggplot2 (Wickham, 2016) and </w:t>
      </w:r>
      <w:proofErr w:type="spellStart"/>
      <w:r>
        <w:t>corrplot</w:t>
      </w:r>
      <w:proofErr w:type="spellEnd"/>
      <w:r>
        <w:t xml:space="preserve"> (Wei and Simko, 2021). These include correlation heatmaps for each method with hierarchical clustering and anatomical region annotations, network graphs using multiple layouts (force-directed, circular, Kamada-Kawai) with nodes </w:t>
      </w:r>
      <w:proofErr w:type="spellStart"/>
      <w:r>
        <w:t>colored</w:t>
      </w:r>
      <w:proofErr w:type="spellEnd"/>
      <w:r>
        <w:t xml:space="preserve"> by anatomical region and sized by centrality metrics, percolation curves showing giant component size and network fragmentation across thresholds, consensus ranking plots displaying hub probability and confidence intervals, and regional aggregation summaries showing connectivity patterns at the anatomical region level. All visualizations use consistent </w:t>
      </w:r>
      <w:proofErr w:type="spellStart"/>
      <w:r>
        <w:t>color</w:t>
      </w:r>
      <w:proofErr w:type="spellEnd"/>
      <w:r>
        <w:t xml:space="preserve"> schemes based on user-defined anatomical region </w:t>
      </w:r>
      <w:proofErr w:type="spellStart"/>
      <w:r>
        <w:t>colors</w:t>
      </w:r>
      <w:proofErr w:type="spellEnd"/>
      <w:r>
        <w:t>, supporting interpretability across output types.</w:t>
      </w:r>
    </w:p>
    <w:p w14:paraId="77B14D9A" w14:textId="77777777" w:rsidR="00BC203A" w:rsidRDefault="00000000">
      <w:r>
        <w:lastRenderedPageBreak/>
        <w:br w:type="page"/>
      </w:r>
    </w:p>
    <w:p w14:paraId="67FB117E" w14:textId="77777777" w:rsidR="00BC203A" w:rsidRDefault="00000000">
      <w:pPr>
        <w:pStyle w:val="Heading1"/>
      </w:pPr>
      <w:r>
        <w:lastRenderedPageBreak/>
        <w:t>3. SOFTWARE IMPLEMENTATION</w:t>
      </w:r>
    </w:p>
    <w:p w14:paraId="25DAF50D" w14:textId="77777777" w:rsidR="00BC203A" w:rsidRDefault="00000000">
      <w:pPr>
        <w:pStyle w:val="Heading2"/>
        <w:spacing w:before="400" w:after="200"/>
      </w:pPr>
      <w:r>
        <w:t>3.1 User Interface</w:t>
      </w:r>
    </w:p>
    <w:p w14:paraId="5BF7CB3D" w14:textId="77777777" w:rsidR="00BC203A" w:rsidRDefault="00000000">
      <w:pPr>
        <w:spacing w:before="200" w:after="100"/>
      </w:pPr>
      <w:r>
        <w:rPr>
          <w:b/>
          <w:bCs/>
        </w:rPr>
        <w:t>3.1.1 Workflow Structure</w:t>
      </w:r>
    </w:p>
    <w:p w14:paraId="4C3CC2FE" w14:textId="77777777" w:rsidR="00BC203A" w:rsidRDefault="00000000">
      <w:pPr>
        <w:spacing w:after="200" w:line="480" w:lineRule="auto"/>
        <w:ind w:firstLine="720"/>
        <w:jc w:val="both"/>
      </w:pPr>
      <w:proofErr w:type="spellStart"/>
      <w:r>
        <w:t>ConsensusConnectR</w:t>
      </w:r>
      <w:proofErr w:type="spellEnd"/>
      <w:r>
        <w:t xml:space="preserve"> organizes analysis through a seven-tab progressive workflow: (1) Import: Data upload, preview, and column mapping; (2) Brain Areas: Anatomical region definition and </w:t>
      </w:r>
      <w:proofErr w:type="spellStart"/>
      <w:r>
        <w:t>color</w:t>
      </w:r>
      <w:proofErr w:type="spellEnd"/>
      <w:r>
        <w:t xml:space="preserve"> assignment; (3) Settings: Method and parameter selection; (4) Summary: Consensus results overview; (5) Results: Detailed analysis outputs organized by category; (6) Downloads: Export functionality; and (7) About: Documentation, citation information, and version details.</w:t>
      </w:r>
    </w:p>
    <w:p w14:paraId="52117053" w14:textId="77777777" w:rsidR="00BC203A" w:rsidRDefault="00000000">
      <w:pPr>
        <w:spacing w:before="200" w:after="100"/>
      </w:pPr>
      <w:r>
        <w:rPr>
          <w:b/>
          <w:bCs/>
        </w:rPr>
        <w:t>3.1.2 Progress Tracking</w:t>
      </w:r>
    </w:p>
    <w:p w14:paraId="020F0922" w14:textId="77777777" w:rsidR="00BC203A" w:rsidRDefault="00000000">
      <w:pPr>
        <w:spacing w:after="200" w:line="480" w:lineRule="auto"/>
        <w:ind w:firstLine="720"/>
        <w:jc w:val="both"/>
      </w:pPr>
      <w:r>
        <w:t>The interface provides real-time feedback during analysis through sidebar progress indicators showing completion status for each workflow stage, status messages during computation-intensive operations, and error handling with informative messages and suggested remediation.</w:t>
      </w:r>
    </w:p>
    <w:p w14:paraId="15DDFCD3" w14:textId="77777777" w:rsidR="00BC203A" w:rsidRDefault="00000000">
      <w:pPr>
        <w:spacing w:before="200" w:after="100"/>
      </w:pPr>
      <w:r>
        <w:rPr>
          <w:b/>
          <w:bCs/>
        </w:rPr>
        <w:t>3.1.3 Citation Requirements</w:t>
      </w:r>
    </w:p>
    <w:p w14:paraId="0038E939" w14:textId="77777777" w:rsidR="00BC203A" w:rsidRDefault="00000000">
      <w:pPr>
        <w:spacing w:after="200" w:line="480" w:lineRule="auto"/>
        <w:ind w:firstLine="720"/>
        <w:jc w:val="both"/>
      </w:pPr>
      <w:r>
        <w:t xml:space="preserve">Upon first use, </w:t>
      </w:r>
      <w:proofErr w:type="spellStart"/>
      <w:r>
        <w:t>ConsensusConnectR</w:t>
      </w:r>
      <w:proofErr w:type="spellEnd"/>
      <w:r>
        <w:t xml:space="preserve"> displays a citation agreement modal requesting users acknowledge the software in publications. This promotes appropriate attribution while ensuring users are aware of citation expectations before beginning analysis.</w:t>
      </w:r>
    </w:p>
    <w:p w14:paraId="2257ED86" w14:textId="77777777" w:rsidR="00BC203A" w:rsidRDefault="00000000">
      <w:pPr>
        <w:pStyle w:val="Heading2"/>
        <w:spacing w:before="400" w:after="200"/>
      </w:pPr>
      <w:r>
        <w:t>3.2 Analysis Configuration</w:t>
      </w:r>
    </w:p>
    <w:p w14:paraId="224001E7" w14:textId="77777777" w:rsidR="00BC203A" w:rsidRDefault="00000000">
      <w:pPr>
        <w:spacing w:after="200" w:line="480" w:lineRule="auto"/>
        <w:ind w:firstLine="720"/>
        <w:jc w:val="both"/>
      </w:pPr>
      <w:r>
        <w:t xml:space="preserve">Users select correlation methods and analytical approaches through checkbox interfaces. All selected combinations are computed, enabling systematic comparison. Default selections include all five correlation methods and all three analytical approaches (15 total combinations). Configurable parameters include percolation threshold range (default: 0.01-0.95, step 0.01), permutation count for statistical testing (default: 1000), hub identification threshold (default: Z ≥ </w:t>
      </w:r>
      <w:r>
        <w:lastRenderedPageBreak/>
        <w:t>1.5), correlation coefficient threshold for network construction, and export format preferences (PDF, PNG resolution, CSV options).</w:t>
      </w:r>
    </w:p>
    <w:p w14:paraId="0C95C314" w14:textId="77777777" w:rsidR="00BC203A" w:rsidRDefault="00000000">
      <w:pPr>
        <w:pStyle w:val="Heading2"/>
        <w:spacing w:before="400" w:after="200"/>
      </w:pPr>
      <w:r>
        <w:t>3.3 Output and Export</w:t>
      </w:r>
    </w:p>
    <w:p w14:paraId="686986AB" w14:textId="77777777" w:rsidR="00BC203A" w:rsidRDefault="00000000">
      <w:pPr>
        <w:spacing w:after="200" w:line="480" w:lineRule="auto"/>
        <w:ind w:firstLine="720"/>
        <w:jc w:val="both"/>
      </w:pPr>
      <w:proofErr w:type="spellStart"/>
      <w:r>
        <w:t>ConsensusConnectR</w:t>
      </w:r>
      <w:proofErr w:type="spellEnd"/>
      <w:r>
        <w:t xml:space="preserve"> generates publication-ready figures in multiple formats (PDF and PNG at user-specified resolution). Figures are organized into categorical folders including imputation diagnostics, correlation heatmaps, network visualizations, consensus hub rankings, node and global metric summaries, and group comparison visualizations. Tabular results are exported as CSV files including node metrics, consensus scores with confidence intervals, global network metrics, correlation matrices, and statistical test results. Network structures are exported as adjacency matrices, edge lists with weights, and JSON format compatible with network visualization tools. The download system generates organized ZIP archives containing all outputs with a manifest file describing contents and analysis parameters.</w:t>
      </w:r>
    </w:p>
    <w:p w14:paraId="33603500" w14:textId="77777777" w:rsidR="00BC203A" w:rsidRDefault="00000000">
      <w:pPr>
        <w:pStyle w:val="Heading2"/>
        <w:spacing w:before="400" w:after="200"/>
      </w:pPr>
      <w:r>
        <w:t>3.4 Deployment Options</w:t>
      </w:r>
    </w:p>
    <w:p w14:paraId="0CDE038A" w14:textId="77777777" w:rsidR="00BC203A" w:rsidRDefault="00000000">
      <w:pPr>
        <w:spacing w:after="200" w:line="480" w:lineRule="auto"/>
        <w:ind w:firstLine="720"/>
        <w:jc w:val="both"/>
      </w:pPr>
      <w:proofErr w:type="spellStart"/>
      <w:r>
        <w:t>ConsensusConnectR</w:t>
      </w:r>
      <w:proofErr w:type="spellEnd"/>
      <w:r>
        <w:t xml:space="preserve"> can be run locally in R or RStudio through standard package installation and shiny::</w:t>
      </w:r>
      <w:proofErr w:type="spellStart"/>
      <w:r>
        <w:t>runApp</w:t>
      </w:r>
      <w:proofErr w:type="spellEnd"/>
      <w:r>
        <w:t>() commands. For broader accessibility, the software can be deployed to shinyapps.io, institutional Shiny Server installations, or custom server deployments. Cloud deployment enables access through web browsers without local R installation, supporting collaborative use and teaching applications. System requirements include R version ≥ 4.0, with 4GB RAM recommended for typical datasets (10-50 nodes). Larger datasets (&gt;100 nodes) may require additional memory.</w:t>
      </w:r>
    </w:p>
    <w:p w14:paraId="3C3A8400" w14:textId="77777777" w:rsidR="00BC203A" w:rsidRDefault="00000000">
      <w:pPr>
        <w:pStyle w:val="Heading2"/>
        <w:spacing w:before="400" w:after="200"/>
      </w:pPr>
      <w:r>
        <w:t>3.5 Code and Data Availability</w:t>
      </w:r>
    </w:p>
    <w:p w14:paraId="2BE6B6B0" w14:textId="77777777" w:rsidR="00BC203A" w:rsidRDefault="00000000">
      <w:pPr>
        <w:spacing w:after="200" w:line="480" w:lineRule="auto"/>
        <w:ind w:firstLine="720"/>
        <w:jc w:val="both"/>
      </w:pPr>
      <w:proofErr w:type="spellStart"/>
      <w:r>
        <w:lastRenderedPageBreak/>
        <w:t>ConsensusConnectR</w:t>
      </w:r>
      <w:proofErr w:type="spellEnd"/>
      <w:r>
        <w:t xml:space="preserve"> is released under [LICENSE TO BE SPECIFIED] and available at [REPOSITORY URL]. Repository contents include complete source code (</w:t>
      </w:r>
      <w:proofErr w:type="spellStart"/>
      <w:r>
        <w:t>app.R</w:t>
      </w:r>
      <w:proofErr w:type="spellEnd"/>
      <w:r>
        <w:t xml:space="preserve"> and modules/ directory), sample dataset for demonstration and testing, installation documentation, user guide with workflow examples, and function reference documentation.</w:t>
      </w:r>
    </w:p>
    <w:p w14:paraId="4CFB4ABD" w14:textId="77777777" w:rsidR="00BC203A" w:rsidRDefault="00000000">
      <w:r>
        <w:br w:type="page"/>
      </w:r>
    </w:p>
    <w:p w14:paraId="5F6F1577" w14:textId="77777777" w:rsidR="00BC203A" w:rsidRDefault="00000000">
      <w:pPr>
        <w:pStyle w:val="Heading1"/>
      </w:pPr>
      <w:r>
        <w:lastRenderedPageBreak/>
        <w:t>4. DEMONSTRATION AND VALIDATION</w:t>
      </w:r>
    </w:p>
    <w:p w14:paraId="43976A25" w14:textId="77777777" w:rsidR="00BC203A" w:rsidRDefault="00000000">
      <w:pPr>
        <w:pStyle w:val="Heading2"/>
        <w:spacing w:before="400" w:after="200"/>
      </w:pPr>
      <w:r>
        <w:t>4.1 Validation Through Published Research</w:t>
      </w:r>
    </w:p>
    <w:p w14:paraId="22CFE735" w14:textId="77777777" w:rsidR="00BC203A" w:rsidRDefault="00000000">
      <w:pPr>
        <w:spacing w:after="200" w:line="480" w:lineRule="auto"/>
        <w:ind w:firstLine="720"/>
        <w:jc w:val="both"/>
      </w:pPr>
      <w:proofErr w:type="spellStart"/>
      <w:r>
        <w:t>ConsensusConnectR's</w:t>
      </w:r>
      <w:proofErr w:type="spellEnd"/>
      <w:r>
        <w:t xml:space="preserve"> network analysis methodology has been validated through application in peer-reviewed research. Lee et al. (2026) used the software's network analysis approach to examine functional connectivity in middle-aged rats based on parity (pregnancy history) and APOEε4 genotype, a genetic risk factor for Alzheimer's disease. The study quantified neural activation through immediate early gene expression (zif268) across 19 brain regions and applied network analysis to characterize connectivity patterns.</w:t>
      </w:r>
    </w:p>
    <w:p w14:paraId="1CE5A6F6" w14:textId="77777777" w:rsidR="00BC203A" w:rsidRDefault="00000000">
      <w:pPr>
        <w:spacing w:after="200" w:line="480" w:lineRule="auto"/>
        <w:ind w:firstLine="720"/>
        <w:jc w:val="both"/>
      </w:pPr>
      <w:r>
        <w:t xml:space="preserve">Key findings enabled by the network analysis approach included: (1) Network topology differences: Primiparous wildtype rats exhibited the most efficient and cohesive functional connectivity networks, characterized by shorter average path lengths, greater network density, higher clustering coefficients, and lower modularity compared to other groups. (2) Regional importance variation: Eigenvector centrality analysis revealed that different brain regions emerged as network hubs depending on parity and genotype. The hippocampus and </w:t>
      </w:r>
      <w:proofErr w:type="spellStart"/>
      <w:r>
        <w:t>retrosplenial</w:t>
      </w:r>
      <w:proofErr w:type="spellEnd"/>
      <w:r>
        <w:t xml:space="preserve"> cortex were most important in nulliparous wildtype networks, while frontal cortex and dorsal striatum showed increased importance in primiparous networks. (3) </w:t>
      </w:r>
      <w:proofErr w:type="spellStart"/>
      <w:r>
        <w:t>Behavior</w:t>
      </w:r>
      <w:proofErr w:type="spellEnd"/>
      <w:r>
        <w:t>-connectivity relationships: The analytical approach enabled identification of region pairs whose coordinated activation predicted cognitive performance, with relationships differing by experimental group.</w:t>
      </w:r>
    </w:p>
    <w:p w14:paraId="3142E284" w14:textId="77777777" w:rsidR="00BC203A" w:rsidRDefault="00000000">
      <w:pPr>
        <w:spacing w:after="200" w:line="480" w:lineRule="auto"/>
        <w:ind w:firstLine="720"/>
        <w:jc w:val="both"/>
      </w:pPr>
      <w:r>
        <w:t xml:space="preserve">These findings demonstrate </w:t>
      </w:r>
      <w:proofErr w:type="spellStart"/>
      <w:r>
        <w:t>ConsensusConnectR's</w:t>
      </w:r>
      <w:proofErr w:type="spellEnd"/>
      <w:r>
        <w:t xml:space="preserve"> capacity to reveal biologically meaningful network features in functional connectivity data with relevance to understanding brain health and disease risk.</w:t>
      </w:r>
    </w:p>
    <w:p w14:paraId="6DF8AFCD" w14:textId="77777777" w:rsidR="00BC203A" w:rsidRDefault="00000000">
      <w:pPr>
        <w:pStyle w:val="Heading2"/>
        <w:spacing w:before="400" w:after="200"/>
      </w:pPr>
      <w:r>
        <w:t>4.2 Demonstration of Core Functionality</w:t>
      </w:r>
    </w:p>
    <w:p w14:paraId="787D411B" w14:textId="77777777" w:rsidR="00BC203A" w:rsidRDefault="00000000">
      <w:pPr>
        <w:spacing w:after="200" w:line="480" w:lineRule="auto"/>
        <w:ind w:firstLine="720"/>
        <w:jc w:val="both"/>
      </w:pPr>
      <w:proofErr w:type="spellStart"/>
      <w:r>
        <w:lastRenderedPageBreak/>
        <w:t>ConsensusConnectR</w:t>
      </w:r>
      <w:proofErr w:type="spellEnd"/>
      <w:r>
        <w:t xml:space="preserve"> includes a sample dataset for demonstration and testing, enabling users to explore all software features before applying the tool to their own data. Application of the five correlation methods to the same dataset reveals both convergence and divergence across methods. While overall patterns of positive and negative connectivity are generally consistent, specific correlation magnitudes vary across methods, particularly for connections near threshold boundaries. This method comparison illustrates why single-method analyses may yield different conclusions and motivates the consensus approach.</w:t>
      </w:r>
    </w:p>
    <w:p w14:paraId="7837AFE7" w14:textId="77777777" w:rsidR="00BC203A" w:rsidRDefault="00000000">
      <w:pPr>
        <w:spacing w:after="200" w:line="480" w:lineRule="auto"/>
        <w:ind w:firstLine="720"/>
        <w:jc w:val="both"/>
      </w:pPr>
      <w:r>
        <w:t>The three analytical approaches identify different aspects of network structure. Weighted analysis preserves continuous connection strengths, revealing graded differences in connectivity. Percolation analysis identifies the network backbone—the set of strongest connections maintaining network integrity. Persistence analysis captures which nodes are consistently important across threshold ranges. While hub nodes are generally consistent across approaches, specific rankings differ, and some nodes identified as hubs by one approach are not identified by others. This variability motivates integration across approaches through the consensus framework.</w:t>
      </w:r>
    </w:p>
    <w:p w14:paraId="0B641DF1" w14:textId="77777777" w:rsidR="00BC203A" w:rsidRDefault="00000000">
      <w:pPr>
        <w:spacing w:after="200" w:line="480" w:lineRule="auto"/>
        <w:ind w:firstLine="720"/>
        <w:jc w:val="both"/>
      </w:pPr>
      <w:r>
        <w:t>The consensus framework identifies nodes robustly identified as hubs across method-approach combinations. Nodes appearing as hubs in multiple combinations are assigned high consensus scores, while nodes identified by only single methods receive low scores regardless of their apparent importance in that specific analysis. This approach reduces false-positive hub identification by requiring convergent evidence across methodological choices.</w:t>
      </w:r>
    </w:p>
    <w:p w14:paraId="1ADD651E" w14:textId="77777777" w:rsidR="00BC203A" w:rsidRDefault="00000000">
      <w:pPr>
        <w:pStyle w:val="Heading2"/>
        <w:spacing w:before="400" w:after="200"/>
      </w:pPr>
      <w:r>
        <w:t>4.3 Computational Performance</w:t>
      </w:r>
    </w:p>
    <w:p w14:paraId="3A7CFD13" w14:textId="77777777" w:rsidR="00BC203A" w:rsidRDefault="00000000">
      <w:pPr>
        <w:spacing w:after="200" w:line="480" w:lineRule="auto"/>
        <w:ind w:firstLine="720"/>
        <w:jc w:val="both"/>
      </w:pPr>
      <w:r>
        <w:t xml:space="preserve">Table 3 summarizes computational benchmarks for representative dataset sizes. Processing time scales with the number of nodes (brain regions) and the number of permutations requested </w:t>
      </w:r>
      <w:r>
        <w:lastRenderedPageBreak/>
        <w:t>for statistical testing. For large datasets or extensive permutation testing, cloud deployment with enhanced computational resources may be advisable.</w:t>
      </w:r>
    </w:p>
    <w:p w14:paraId="68059F30" w14:textId="77777777" w:rsidR="00BC203A" w:rsidRDefault="00000000">
      <w:pPr>
        <w:spacing w:before="300" w:after="100"/>
      </w:pPr>
      <w:r>
        <w:rPr>
          <w:b/>
          <w:bCs/>
          <w:i/>
          <w:iCs/>
        </w:rPr>
        <w:t>Table 3. Computational Performance Benchmarks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2518"/>
        <w:gridCol w:w="3054"/>
        <w:gridCol w:w="2625"/>
      </w:tblGrid>
      <w:tr w:rsidR="00BC203A" w14:paraId="6470B199"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E0E0E0"/>
          </w:tcPr>
          <w:p w14:paraId="3AB8D3BF" w14:textId="77777777" w:rsidR="00BC203A" w:rsidRDefault="00000000">
            <w:pPr>
              <w:jc w:val="center"/>
            </w:pPr>
            <w:r>
              <w:rPr>
                <w:b/>
                <w:bCs/>
                <w:sz w:val="22"/>
                <w:szCs w:val="22"/>
              </w:rPr>
              <w:t>Nodes</w:t>
            </w:r>
          </w:p>
        </w:tc>
        <w:tc>
          <w:tcPr>
            <w:tcW w:w="0" w:type="auto"/>
            <w:tcBorders>
              <w:top w:val="single" w:sz="1" w:space="0" w:color="000000"/>
              <w:left w:val="single" w:sz="1" w:space="0" w:color="000000"/>
              <w:bottom w:val="single" w:sz="1" w:space="0" w:color="000000"/>
              <w:right w:val="single" w:sz="1" w:space="0" w:color="000000"/>
            </w:tcBorders>
            <w:shd w:val="clear" w:color="auto" w:fill="E0E0E0"/>
          </w:tcPr>
          <w:p w14:paraId="5FA02206" w14:textId="77777777" w:rsidR="00BC203A" w:rsidRDefault="00000000">
            <w:pPr>
              <w:jc w:val="center"/>
            </w:pPr>
            <w:r>
              <w:rPr>
                <w:b/>
                <w:bCs/>
                <w:sz w:val="22"/>
                <w:szCs w:val="22"/>
              </w:rPr>
              <w:t>Permutations</w:t>
            </w:r>
          </w:p>
        </w:tc>
        <w:tc>
          <w:tcPr>
            <w:tcW w:w="0" w:type="auto"/>
            <w:tcBorders>
              <w:top w:val="single" w:sz="1" w:space="0" w:color="000000"/>
              <w:left w:val="single" w:sz="1" w:space="0" w:color="000000"/>
              <w:bottom w:val="single" w:sz="1" w:space="0" w:color="000000"/>
              <w:right w:val="single" w:sz="1" w:space="0" w:color="000000"/>
            </w:tcBorders>
            <w:shd w:val="clear" w:color="auto" w:fill="E0E0E0"/>
          </w:tcPr>
          <w:p w14:paraId="1D461FA4" w14:textId="77777777" w:rsidR="00BC203A" w:rsidRDefault="00000000">
            <w:pPr>
              <w:jc w:val="center"/>
            </w:pPr>
            <w:r>
              <w:rPr>
                <w:b/>
                <w:bCs/>
                <w:sz w:val="22"/>
                <w:szCs w:val="22"/>
              </w:rPr>
              <w:t>Processing Time</w:t>
            </w:r>
          </w:p>
        </w:tc>
        <w:tc>
          <w:tcPr>
            <w:tcW w:w="0" w:type="auto"/>
            <w:tcBorders>
              <w:top w:val="single" w:sz="1" w:space="0" w:color="000000"/>
              <w:left w:val="single" w:sz="1" w:space="0" w:color="000000"/>
              <w:bottom w:val="single" w:sz="1" w:space="0" w:color="000000"/>
              <w:right w:val="single" w:sz="1" w:space="0" w:color="000000"/>
            </w:tcBorders>
            <w:shd w:val="clear" w:color="auto" w:fill="E0E0E0"/>
          </w:tcPr>
          <w:p w14:paraId="263899CA" w14:textId="77777777" w:rsidR="00BC203A" w:rsidRDefault="00000000">
            <w:pPr>
              <w:jc w:val="center"/>
            </w:pPr>
            <w:r>
              <w:rPr>
                <w:b/>
                <w:bCs/>
                <w:sz w:val="22"/>
                <w:szCs w:val="22"/>
              </w:rPr>
              <w:t>Peak Memory</w:t>
            </w:r>
          </w:p>
        </w:tc>
      </w:tr>
      <w:tr w:rsidR="00BC203A" w14:paraId="2FCF840D"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525A24E8" w14:textId="77777777" w:rsidR="00BC203A" w:rsidRDefault="00000000">
            <w:pPr>
              <w:spacing w:before="40" w:after="40"/>
              <w:jc w:val="center"/>
            </w:pPr>
            <w:r>
              <w:rPr>
                <w:sz w:val="22"/>
                <w:szCs w:val="22"/>
              </w:rPr>
              <w:t>15</w:t>
            </w:r>
          </w:p>
        </w:tc>
        <w:tc>
          <w:tcPr>
            <w:tcW w:w="0" w:type="auto"/>
            <w:tcBorders>
              <w:top w:val="single" w:sz="1" w:space="0" w:color="000000"/>
              <w:left w:val="single" w:sz="1" w:space="0" w:color="000000"/>
              <w:bottom w:val="single" w:sz="1" w:space="0" w:color="000000"/>
              <w:right w:val="single" w:sz="1" w:space="0" w:color="000000"/>
            </w:tcBorders>
          </w:tcPr>
          <w:p w14:paraId="6746A874" w14:textId="77777777" w:rsidR="00BC203A" w:rsidRDefault="00000000">
            <w:pPr>
              <w:spacing w:before="40" w:after="40"/>
              <w:jc w:val="center"/>
            </w:pPr>
            <w:r>
              <w:rPr>
                <w:sz w:val="22"/>
                <w:szCs w:val="22"/>
              </w:rPr>
              <w:t>0</w:t>
            </w:r>
          </w:p>
        </w:tc>
        <w:tc>
          <w:tcPr>
            <w:tcW w:w="0" w:type="auto"/>
            <w:tcBorders>
              <w:top w:val="single" w:sz="1" w:space="0" w:color="000000"/>
              <w:left w:val="single" w:sz="1" w:space="0" w:color="000000"/>
              <w:bottom w:val="single" w:sz="1" w:space="0" w:color="000000"/>
              <w:right w:val="single" w:sz="1" w:space="0" w:color="000000"/>
            </w:tcBorders>
          </w:tcPr>
          <w:p w14:paraId="1CB9519E" w14:textId="77777777" w:rsidR="00BC203A" w:rsidRDefault="00000000">
            <w:pPr>
              <w:spacing w:before="40" w:after="40"/>
              <w:jc w:val="center"/>
            </w:pPr>
            <w:r>
              <w:rPr>
                <w:sz w:val="22"/>
                <w:szCs w:val="22"/>
              </w:rPr>
              <w:t>~30 seconds</w:t>
            </w:r>
          </w:p>
        </w:tc>
        <w:tc>
          <w:tcPr>
            <w:tcW w:w="0" w:type="auto"/>
            <w:tcBorders>
              <w:top w:val="single" w:sz="1" w:space="0" w:color="000000"/>
              <w:left w:val="single" w:sz="1" w:space="0" w:color="000000"/>
              <w:bottom w:val="single" w:sz="1" w:space="0" w:color="000000"/>
              <w:right w:val="single" w:sz="1" w:space="0" w:color="000000"/>
            </w:tcBorders>
          </w:tcPr>
          <w:p w14:paraId="0C7CEE52" w14:textId="77777777" w:rsidR="00BC203A" w:rsidRDefault="00000000">
            <w:pPr>
              <w:spacing w:before="40" w:after="40"/>
              <w:jc w:val="center"/>
            </w:pPr>
            <w:r>
              <w:rPr>
                <w:sz w:val="22"/>
                <w:szCs w:val="22"/>
              </w:rPr>
              <w:t>~500 MB</w:t>
            </w:r>
          </w:p>
        </w:tc>
      </w:tr>
      <w:tr w:rsidR="00BC203A" w14:paraId="6EC22613"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4709AC68" w14:textId="77777777" w:rsidR="00BC203A" w:rsidRDefault="00000000">
            <w:pPr>
              <w:spacing w:before="40" w:after="40"/>
              <w:jc w:val="center"/>
            </w:pPr>
            <w:r>
              <w:rPr>
                <w:sz w:val="22"/>
                <w:szCs w:val="22"/>
              </w:rPr>
              <w:t>15</w:t>
            </w:r>
          </w:p>
        </w:tc>
        <w:tc>
          <w:tcPr>
            <w:tcW w:w="0" w:type="auto"/>
            <w:tcBorders>
              <w:top w:val="single" w:sz="1" w:space="0" w:color="000000"/>
              <w:left w:val="single" w:sz="1" w:space="0" w:color="000000"/>
              <w:bottom w:val="single" w:sz="1" w:space="0" w:color="000000"/>
              <w:right w:val="single" w:sz="1" w:space="0" w:color="000000"/>
            </w:tcBorders>
          </w:tcPr>
          <w:p w14:paraId="5927E8C6" w14:textId="77777777" w:rsidR="00BC203A" w:rsidRDefault="00000000">
            <w:pPr>
              <w:spacing w:before="40" w:after="40"/>
              <w:jc w:val="center"/>
            </w:pPr>
            <w:r>
              <w:rPr>
                <w:sz w:val="22"/>
                <w:szCs w:val="22"/>
              </w:rPr>
              <w:t>1000</w:t>
            </w:r>
          </w:p>
        </w:tc>
        <w:tc>
          <w:tcPr>
            <w:tcW w:w="0" w:type="auto"/>
            <w:tcBorders>
              <w:top w:val="single" w:sz="1" w:space="0" w:color="000000"/>
              <w:left w:val="single" w:sz="1" w:space="0" w:color="000000"/>
              <w:bottom w:val="single" w:sz="1" w:space="0" w:color="000000"/>
              <w:right w:val="single" w:sz="1" w:space="0" w:color="000000"/>
            </w:tcBorders>
          </w:tcPr>
          <w:p w14:paraId="6B19C958" w14:textId="77777777" w:rsidR="00BC203A" w:rsidRDefault="00000000">
            <w:pPr>
              <w:spacing w:before="40" w:after="40"/>
              <w:jc w:val="center"/>
            </w:pPr>
            <w:r>
              <w:rPr>
                <w:sz w:val="22"/>
                <w:szCs w:val="22"/>
              </w:rPr>
              <w:t>~5 minutes</w:t>
            </w:r>
          </w:p>
        </w:tc>
        <w:tc>
          <w:tcPr>
            <w:tcW w:w="0" w:type="auto"/>
            <w:tcBorders>
              <w:top w:val="single" w:sz="1" w:space="0" w:color="000000"/>
              <w:left w:val="single" w:sz="1" w:space="0" w:color="000000"/>
              <w:bottom w:val="single" w:sz="1" w:space="0" w:color="000000"/>
              <w:right w:val="single" w:sz="1" w:space="0" w:color="000000"/>
            </w:tcBorders>
          </w:tcPr>
          <w:p w14:paraId="574E37DE" w14:textId="77777777" w:rsidR="00BC203A" w:rsidRDefault="00000000">
            <w:pPr>
              <w:spacing w:before="40" w:after="40"/>
              <w:jc w:val="center"/>
            </w:pPr>
            <w:r>
              <w:rPr>
                <w:sz w:val="22"/>
                <w:szCs w:val="22"/>
              </w:rPr>
              <w:t>~800 MB</w:t>
            </w:r>
          </w:p>
        </w:tc>
      </w:tr>
      <w:tr w:rsidR="00BC203A" w14:paraId="0B75A229"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293B8C5B" w14:textId="77777777" w:rsidR="00BC203A" w:rsidRDefault="00000000">
            <w:pPr>
              <w:spacing w:before="40" w:after="40"/>
              <w:jc w:val="center"/>
            </w:pPr>
            <w:r>
              <w:rPr>
                <w:sz w:val="22"/>
                <w:szCs w:val="22"/>
              </w:rPr>
              <w:t>30</w:t>
            </w:r>
          </w:p>
        </w:tc>
        <w:tc>
          <w:tcPr>
            <w:tcW w:w="0" w:type="auto"/>
            <w:tcBorders>
              <w:top w:val="single" w:sz="1" w:space="0" w:color="000000"/>
              <w:left w:val="single" w:sz="1" w:space="0" w:color="000000"/>
              <w:bottom w:val="single" w:sz="1" w:space="0" w:color="000000"/>
              <w:right w:val="single" w:sz="1" w:space="0" w:color="000000"/>
            </w:tcBorders>
          </w:tcPr>
          <w:p w14:paraId="6C8456CC" w14:textId="77777777" w:rsidR="00BC203A" w:rsidRDefault="00000000">
            <w:pPr>
              <w:spacing w:before="40" w:after="40"/>
              <w:jc w:val="center"/>
            </w:pPr>
            <w:r>
              <w:rPr>
                <w:sz w:val="22"/>
                <w:szCs w:val="22"/>
              </w:rPr>
              <w:t>0</w:t>
            </w:r>
          </w:p>
        </w:tc>
        <w:tc>
          <w:tcPr>
            <w:tcW w:w="0" w:type="auto"/>
            <w:tcBorders>
              <w:top w:val="single" w:sz="1" w:space="0" w:color="000000"/>
              <w:left w:val="single" w:sz="1" w:space="0" w:color="000000"/>
              <w:bottom w:val="single" w:sz="1" w:space="0" w:color="000000"/>
              <w:right w:val="single" w:sz="1" w:space="0" w:color="000000"/>
            </w:tcBorders>
          </w:tcPr>
          <w:p w14:paraId="2C02C4D9" w14:textId="77777777" w:rsidR="00BC203A" w:rsidRDefault="00000000">
            <w:pPr>
              <w:spacing w:before="40" w:after="40"/>
              <w:jc w:val="center"/>
            </w:pPr>
            <w:r>
              <w:rPr>
                <w:sz w:val="22"/>
                <w:szCs w:val="22"/>
              </w:rPr>
              <w:t>~2 minutes</w:t>
            </w:r>
          </w:p>
        </w:tc>
        <w:tc>
          <w:tcPr>
            <w:tcW w:w="0" w:type="auto"/>
            <w:tcBorders>
              <w:top w:val="single" w:sz="1" w:space="0" w:color="000000"/>
              <w:left w:val="single" w:sz="1" w:space="0" w:color="000000"/>
              <w:bottom w:val="single" w:sz="1" w:space="0" w:color="000000"/>
              <w:right w:val="single" w:sz="1" w:space="0" w:color="000000"/>
            </w:tcBorders>
          </w:tcPr>
          <w:p w14:paraId="014692AD" w14:textId="77777777" w:rsidR="00BC203A" w:rsidRDefault="00000000">
            <w:pPr>
              <w:spacing w:before="40" w:after="40"/>
              <w:jc w:val="center"/>
            </w:pPr>
            <w:r>
              <w:rPr>
                <w:sz w:val="22"/>
                <w:szCs w:val="22"/>
              </w:rPr>
              <w:t>~1 GB</w:t>
            </w:r>
          </w:p>
        </w:tc>
      </w:tr>
      <w:tr w:rsidR="00BC203A" w14:paraId="6963BCF6"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3ADAB1EC" w14:textId="77777777" w:rsidR="00BC203A" w:rsidRDefault="00000000">
            <w:pPr>
              <w:spacing w:before="40" w:after="40"/>
              <w:jc w:val="center"/>
            </w:pPr>
            <w:r>
              <w:rPr>
                <w:sz w:val="22"/>
                <w:szCs w:val="22"/>
              </w:rPr>
              <w:t>30</w:t>
            </w:r>
          </w:p>
        </w:tc>
        <w:tc>
          <w:tcPr>
            <w:tcW w:w="0" w:type="auto"/>
            <w:tcBorders>
              <w:top w:val="single" w:sz="1" w:space="0" w:color="000000"/>
              <w:left w:val="single" w:sz="1" w:space="0" w:color="000000"/>
              <w:bottom w:val="single" w:sz="1" w:space="0" w:color="000000"/>
              <w:right w:val="single" w:sz="1" w:space="0" w:color="000000"/>
            </w:tcBorders>
          </w:tcPr>
          <w:p w14:paraId="72E88475" w14:textId="77777777" w:rsidR="00BC203A" w:rsidRDefault="00000000">
            <w:pPr>
              <w:spacing w:before="40" w:after="40"/>
              <w:jc w:val="center"/>
            </w:pPr>
            <w:r>
              <w:rPr>
                <w:sz w:val="22"/>
                <w:szCs w:val="22"/>
              </w:rPr>
              <w:t>1000</w:t>
            </w:r>
          </w:p>
        </w:tc>
        <w:tc>
          <w:tcPr>
            <w:tcW w:w="0" w:type="auto"/>
            <w:tcBorders>
              <w:top w:val="single" w:sz="1" w:space="0" w:color="000000"/>
              <w:left w:val="single" w:sz="1" w:space="0" w:color="000000"/>
              <w:bottom w:val="single" w:sz="1" w:space="0" w:color="000000"/>
              <w:right w:val="single" w:sz="1" w:space="0" w:color="000000"/>
            </w:tcBorders>
          </w:tcPr>
          <w:p w14:paraId="5D2E7D3B" w14:textId="77777777" w:rsidR="00BC203A" w:rsidRDefault="00000000">
            <w:pPr>
              <w:spacing w:before="40" w:after="40"/>
              <w:jc w:val="center"/>
            </w:pPr>
            <w:r>
              <w:rPr>
                <w:sz w:val="22"/>
                <w:szCs w:val="22"/>
              </w:rPr>
              <w:t>~15 minutes</w:t>
            </w:r>
          </w:p>
        </w:tc>
        <w:tc>
          <w:tcPr>
            <w:tcW w:w="0" w:type="auto"/>
            <w:tcBorders>
              <w:top w:val="single" w:sz="1" w:space="0" w:color="000000"/>
              <w:left w:val="single" w:sz="1" w:space="0" w:color="000000"/>
              <w:bottom w:val="single" w:sz="1" w:space="0" w:color="000000"/>
              <w:right w:val="single" w:sz="1" w:space="0" w:color="000000"/>
            </w:tcBorders>
          </w:tcPr>
          <w:p w14:paraId="5B871CAB" w14:textId="77777777" w:rsidR="00BC203A" w:rsidRDefault="00000000">
            <w:pPr>
              <w:spacing w:before="40" w:after="40"/>
              <w:jc w:val="center"/>
            </w:pPr>
            <w:r>
              <w:rPr>
                <w:sz w:val="22"/>
                <w:szCs w:val="22"/>
              </w:rPr>
              <w:t>~1.5 GB</w:t>
            </w:r>
          </w:p>
        </w:tc>
      </w:tr>
      <w:tr w:rsidR="00BC203A" w14:paraId="32537E06"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32551856" w14:textId="77777777" w:rsidR="00BC203A" w:rsidRDefault="00000000">
            <w:pPr>
              <w:spacing w:before="40" w:after="40"/>
              <w:jc w:val="center"/>
            </w:pPr>
            <w:r>
              <w:rPr>
                <w:sz w:val="22"/>
                <w:szCs w:val="22"/>
              </w:rPr>
              <w:t>50</w:t>
            </w:r>
          </w:p>
        </w:tc>
        <w:tc>
          <w:tcPr>
            <w:tcW w:w="0" w:type="auto"/>
            <w:tcBorders>
              <w:top w:val="single" w:sz="1" w:space="0" w:color="000000"/>
              <w:left w:val="single" w:sz="1" w:space="0" w:color="000000"/>
              <w:bottom w:val="single" w:sz="1" w:space="0" w:color="000000"/>
              <w:right w:val="single" w:sz="1" w:space="0" w:color="000000"/>
            </w:tcBorders>
          </w:tcPr>
          <w:p w14:paraId="05937576" w14:textId="77777777" w:rsidR="00BC203A" w:rsidRDefault="00000000">
            <w:pPr>
              <w:spacing w:before="40" w:after="40"/>
              <w:jc w:val="center"/>
            </w:pPr>
            <w:r>
              <w:rPr>
                <w:sz w:val="22"/>
                <w:szCs w:val="22"/>
              </w:rPr>
              <w:t>0</w:t>
            </w:r>
          </w:p>
        </w:tc>
        <w:tc>
          <w:tcPr>
            <w:tcW w:w="0" w:type="auto"/>
            <w:tcBorders>
              <w:top w:val="single" w:sz="1" w:space="0" w:color="000000"/>
              <w:left w:val="single" w:sz="1" w:space="0" w:color="000000"/>
              <w:bottom w:val="single" w:sz="1" w:space="0" w:color="000000"/>
              <w:right w:val="single" w:sz="1" w:space="0" w:color="000000"/>
            </w:tcBorders>
          </w:tcPr>
          <w:p w14:paraId="050DD7A8" w14:textId="77777777" w:rsidR="00BC203A" w:rsidRDefault="00000000">
            <w:pPr>
              <w:spacing w:before="40" w:after="40"/>
              <w:jc w:val="center"/>
            </w:pPr>
            <w:r>
              <w:rPr>
                <w:sz w:val="22"/>
                <w:szCs w:val="22"/>
              </w:rPr>
              <w:t>~5 minutes</w:t>
            </w:r>
          </w:p>
        </w:tc>
        <w:tc>
          <w:tcPr>
            <w:tcW w:w="0" w:type="auto"/>
            <w:tcBorders>
              <w:top w:val="single" w:sz="1" w:space="0" w:color="000000"/>
              <w:left w:val="single" w:sz="1" w:space="0" w:color="000000"/>
              <w:bottom w:val="single" w:sz="1" w:space="0" w:color="000000"/>
              <w:right w:val="single" w:sz="1" w:space="0" w:color="000000"/>
            </w:tcBorders>
          </w:tcPr>
          <w:p w14:paraId="7F170CD0" w14:textId="77777777" w:rsidR="00BC203A" w:rsidRDefault="00000000">
            <w:pPr>
              <w:spacing w:before="40" w:after="40"/>
              <w:jc w:val="center"/>
            </w:pPr>
            <w:r>
              <w:rPr>
                <w:sz w:val="22"/>
                <w:szCs w:val="22"/>
              </w:rPr>
              <w:t>~2 GB</w:t>
            </w:r>
          </w:p>
        </w:tc>
      </w:tr>
      <w:tr w:rsidR="00BC203A" w14:paraId="1A4F7324"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48168CC3" w14:textId="77777777" w:rsidR="00BC203A" w:rsidRDefault="00000000">
            <w:pPr>
              <w:spacing w:before="40" w:after="40"/>
              <w:jc w:val="center"/>
            </w:pPr>
            <w:r>
              <w:rPr>
                <w:sz w:val="22"/>
                <w:szCs w:val="22"/>
              </w:rPr>
              <w:t>50</w:t>
            </w:r>
          </w:p>
        </w:tc>
        <w:tc>
          <w:tcPr>
            <w:tcW w:w="0" w:type="auto"/>
            <w:tcBorders>
              <w:top w:val="single" w:sz="1" w:space="0" w:color="000000"/>
              <w:left w:val="single" w:sz="1" w:space="0" w:color="000000"/>
              <w:bottom w:val="single" w:sz="1" w:space="0" w:color="000000"/>
              <w:right w:val="single" w:sz="1" w:space="0" w:color="000000"/>
            </w:tcBorders>
          </w:tcPr>
          <w:p w14:paraId="2422F3DA" w14:textId="77777777" w:rsidR="00BC203A" w:rsidRDefault="00000000">
            <w:pPr>
              <w:spacing w:before="40" w:after="40"/>
              <w:jc w:val="center"/>
            </w:pPr>
            <w:r>
              <w:rPr>
                <w:sz w:val="22"/>
                <w:szCs w:val="22"/>
              </w:rPr>
              <w:t>1000</w:t>
            </w:r>
          </w:p>
        </w:tc>
        <w:tc>
          <w:tcPr>
            <w:tcW w:w="0" w:type="auto"/>
            <w:tcBorders>
              <w:top w:val="single" w:sz="1" w:space="0" w:color="000000"/>
              <w:left w:val="single" w:sz="1" w:space="0" w:color="000000"/>
              <w:bottom w:val="single" w:sz="1" w:space="0" w:color="000000"/>
              <w:right w:val="single" w:sz="1" w:space="0" w:color="000000"/>
            </w:tcBorders>
          </w:tcPr>
          <w:p w14:paraId="6BF1B1F5" w14:textId="77777777" w:rsidR="00BC203A" w:rsidRDefault="00000000">
            <w:pPr>
              <w:spacing w:before="40" w:after="40"/>
              <w:jc w:val="center"/>
            </w:pPr>
            <w:r>
              <w:rPr>
                <w:sz w:val="22"/>
                <w:szCs w:val="22"/>
              </w:rPr>
              <w:t>~45 minutes</w:t>
            </w:r>
          </w:p>
        </w:tc>
        <w:tc>
          <w:tcPr>
            <w:tcW w:w="0" w:type="auto"/>
            <w:tcBorders>
              <w:top w:val="single" w:sz="1" w:space="0" w:color="000000"/>
              <w:left w:val="single" w:sz="1" w:space="0" w:color="000000"/>
              <w:bottom w:val="single" w:sz="1" w:space="0" w:color="000000"/>
              <w:right w:val="single" w:sz="1" w:space="0" w:color="000000"/>
            </w:tcBorders>
          </w:tcPr>
          <w:p w14:paraId="3244F3F3" w14:textId="77777777" w:rsidR="00BC203A" w:rsidRDefault="00000000">
            <w:pPr>
              <w:spacing w:before="40" w:after="40"/>
              <w:jc w:val="center"/>
            </w:pPr>
            <w:r>
              <w:rPr>
                <w:sz w:val="22"/>
                <w:szCs w:val="22"/>
              </w:rPr>
              <w:t>~3 GB</w:t>
            </w:r>
          </w:p>
        </w:tc>
      </w:tr>
    </w:tbl>
    <w:p w14:paraId="7500F8F4" w14:textId="77777777" w:rsidR="00BC203A" w:rsidRDefault="00000000">
      <w:pPr>
        <w:spacing w:before="100" w:after="200"/>
      </w:pPr>
      <w:r>
        <w:rPr>
          <w:i/>
          <w:iCs/>
          <w:sz w:val="22"/>
          <w:szCs w:val="22"/>
        </w:rPr>
        <w:t>Note: Benchmarks performed on [SYSTEM SPECIFICATIONS]. Actual performance will vary based on hardware configuration.</w:t>
      </w:r>
    </w:p>
    <w:p w14:paraId="415B906B" w14:textId="77777777" w:rsidR="00BC203A" w:rsidRDefault="00000000">
      <w:r>
        <w:br w:type="page"/>
      </w:r>
    </w:p>
    <w:p w14:paraId="70C02260" w14:textId="77777777" w:rsidR="00BC203A" w:rsidRDefault="00000000">
      <w:pPr>
        <w:pStyle w:val="Heading1"/>
      </w:pPr>
      <w:r>
        <w:lastRenderedPageBreak/>
        <w:t>5. DISCUSSION</w:t>
      </w:r>
    </w:p>
    <w:p w14:paraId="15F39DFC" w14:textId="77777777" w:rsidR="00BC203A" w:rsidRDefault="00000000">
      <w:pPr>
        <w:pStyle w:val="Heading2"/>
        <w:spacing w:before="400" w:after="200"/>
      </w:pPr>
      <w:r>
        <w:t>5.1 Summary of Contributions</w:t>
      </w:r>
    </w:p>
    <w:p w14:paraId="3E008F9C" w14:textId="77777777" w:rsidR="00BC203A" w:rsidRDefault="00000000">
      <w:pPr>
        <w:spacing w:after="200" w:line="480" w:lineRule="auto"/>
        <w:ind w:firstLine="720"/>
        <w:jc w:val="both"/>
      </w:pPr>
      <w:proofErr w:type="spellStart"/>
      <w:r>
        <w:t>ConsensusConnectR</w:t>
      </w:r>
      <w:proofErr w:type="spellEnd"/>
      <w:r>
        <w:t xml:space="preserve"> provides a comprehensive, accessible tool for functional connectivity analysis that addresses the challenge of methodological variability through systematic multi-method integration. The software's key contributions include: (1) Integration of multiple correlation methods: By implementing five correlation methods representing complementary statistical approaches, </w:t>
      </w:r>
      <w:proofErr w:type="spellStart"/>
      <w:r>
        <w:t>ConsensusConnectR</w:t>
      </w:r>
      <w:proofErr w:type="spellEnd"/>
      <w:r>
        <w:t xml:space="preserve"> enables assessment of connectivity from multiple perspectives, reducing reliance on arbitrary method selection. (2) Multiple analytical frameworks: The combination of weighted, percolation-based, and persistence-based approaches provides comprehensive network characterization while revealing sensitivity to methodological choices. (3) Consensus framework with confidence quantification: The synthesis of results across method-approach combinations identifies robust network features while explicitly quantifying confidence based on cross-method agreement. (4) Accessible implementation: The web interface enables comprehensive analysis without programming expertise, while open-source availability supports transparency, reproducibility, and community contribution.</w:t>
      </w:r>
    </w:p>
    <w:p w14:paraId="36921CF4" w14:textId="77777777" w:rsidR="00BC203A" w:rsidRDefault="00000000">
      <w:pPr>
        <w:pStyle w:val="Heading2"/>
        <w:spacing w:before="400" w:after="200"/>
      </w:pPr>
      <w:r>
        <w:t>5.2 Advantages of the Consensus Approach</w:t>
      </w:r>
    </w:p>
    <w:p w14:paraId="1E6D88D8" w14:textId="77777777" w:rsidR="00BC203A" w:rsidRDefault="00000000">
      <w:pPr>
        <w:spacing w:after="200" w:line="480" w:lineRule="auto"/>
        <w:ind w:firstLine="720"/>
        <w:jc w:val="both"/>
      </w:pPr>
      <w:r>
        <w:t xml:space="preserve">The consensus approach offers several advantages over single-method analyses. It provides reduced method-dependent variability by requiring convergent evidence across methods, reducing false-positive identification of network hubs that might result from method-specific artifacts or statistical fluctuations. Rather than presenting results as if they were certain, the consensus framework provides explicit confidence quantification through metrics based on cross-method agreement, enabling appropriate interpretation of findings. By computing all method-approach combinations, </w:t>
      </w:r>
      <w:proofErr w:type="spellStart"/>
      <w:r>
        <w:t>ConsensusConnectR</w:t>
      </w:r>
      <w:proofErr w:type="spellEnd"/>
      <w:r>
        <w:t xml:space="preserve"> reveals which findings are robust and which are sensitive to </w:t>
      </w:r>
      <w:r>
        <w:lastRenderedPageBreak/>
        <w:t>methodological choices, providing transparency about methodological sensitivity. Different correlation methods and analytical approaches capture complementary aspects of network structure, and integration across approaches provides more complete network characterization than any single method alone.</w:t>
      </w:r>
    </w:p>
    <w:p w14:paraId="6B2795E4" w14:textId="77777777" w:rsidR="00BC203A" w:rsidRDefault="00000000">
      <w:pPr>
        <w:pStyle w:val="Heading2"/>
        <w:spacing w:before="400" w:after="200"/>
      </w:pPr>
      <w:r>
        <w:t>5.3 Comparison with Existing Tools</w:t>
      </w:r>
    </w:p>
    <w:p w14:paraId="68AE3A58" w14:textId="77777777" w:rsidR="00BC203A" w:rsidRDefault="00000000">
      <w:pPr>
        <w:spacing w:after="200" w:line="480" w:lineRule="auto"/>
        <w:ind w:firstLine="720"/>
        <w:jc w:val="both"/>
      </w:pPr>
      <w:proofErr w:type="spellStart"/>
      <w:r>
        <w:t>ConsensusConnectR</w:t>
      </w:r>
      <w:proofErr w:type="spellEnd"/>
      <w:r>
        <w:t xml:space="preserve"> complements rather than replaces existing connectivity analysis tools. CONN (Whitfield-Gabrieli and Nieto-Castanon, 2012) provides sophisticated preprocessing and analysis for fMRI data but focuses on single correlation methods. FSL (Jenkinson et al., 2012) offers comprehensive neuroimaging analysis but requires command-line expertise. The Brain Connectivity Toolbox (Rubinov and </w:t>
      </w:r>
      <w:proofErr w:type="spellStart"/>
      <w:r>
        <w:t>Sporns</w:t>
      </w:r>
      <w:proofErr w:type="spellEnd"/>
      <w:r>
        <w:t>, 2010) provides extensive network metrics but requires MATLAB and custom scripting. The Network-Based Statistic toolbox (Zalesky et al., 2010) enables statistical comparison of connectomes but does not provide multi-method consensus analysis.</w:t>
      </w:r>
    </w:p>
    <w:p w14:paraId="7F013F2C" w14:textId="77777777" w:rsidR="00BC203A" w:rsidRDefault="00000000">
      <w:pPr>
        <w:spacing w:after="200" w:line="480" w:lineRule="auto"/>
        <w:ind w:firstLine="720"/>
        <w:jc w:val="both"/>
      </w:pPr>
      <w:proofErr w:type="spellStart"/>
      <w:r>
        <w:t>ConsensusConnectR's</w:t>
      </w:r>
      <w:proofErr w:type="spellEnd"/>
      <w:r>
        <w:t xml:space="preserve"> unique contribution is the systematic integration of multiple methods with consensus synthesis, accessible through an interactive interface. The software is particularly valuable for exploratory connectivity analysis where the optimal method is unknown, studies with small sample sizes where method robustness is critical, research requiring transparent and reproducible methodology, and teaching and training in network neuroscience methods.</w:t>
      </w:r>
    </w:p>
    <w:p w14:paraId="6DE168D4" w14:textId="77777777" w:rsidR="00BC203A" w:rsidRDefault="00000000">
      <w:pPr>
        <w:pStyle w:val="Heading2"/>
        <w:spacing w:before="400" w:after="200"/>
      </w:pPr>
      <w:r>
        <w:t>5.4 Limitations and Future Directions</w:t>
      </w:r>
    </w:p>
    <w:p w14:paraId="7B7F71F1" w14:textId="77777777" w:rsidR="00BC203A" w:rsidRDefault="00000000">
      <w:pPr>
        <w:spacing w:before="200" w:after="100"/>
      </w:pPr>
      <w:r>
        <w:rPr>
          <w:b/>
          <w:bCs/>
        </w:rPr>
        <w:t>5.4.1 Current Limitations</w:t>
      </w:r>
    </w:p>
    <w:p w14:paraId="63431E2A" w14:textId="77777777" w:rsidR="00BC203A" w:rsidRDefault="00000000">
      <w:pPr>
        <w:spacing w:after="200" w:line="480" w:lineRule="auto"/>
        <w:ind w:firstLine="720"/>
        <w:jc w:val="both"/>
      </w:pPr>
      <w:proofErr w:type="spellStart"/>
      <w:r>
        <w:t>ConsensusConnectR</w:t>
      </w:r>
      <w:proofErr w:type="spellEnd"/>
      <w:r>
        <w:t xml:space="preserve"> currently supports static connectivity analysis from single time-point data; dynamic connectivity approaches examining temporal variation in connectivity patterns are </w:t>
      </w:r>
      <w:r>
        <w:lastRenderedPageBreak/>
        <w:t>not implemented. The software focuses on correlation-based connectivity measures, and alternative approaches such as mutual information, transfer entropy, or partial least squares are not currently supported. Permutation testing and multi-method analysis increase computational demands, and very large datasets (&gt;100 nodes) or extensive permutation testing may require substantial processing time and memory. While the web interface enhances accessibility, it may introduce latency for large analyses and limits integration with automated processing pipelines.</w:t>
      </w:r>
    </w:p>
    <w:p w14:paraId="20E91597" w14:textId="77777777" w:rsidR="00BC203A" w:rsidRDefault="00000000">
      <w:pPr>
        <w:spacing w:before="200" w:after="100"/>
      </w:pPr>
      <w:r>
        <w:rPr>
          <w:b/>
          <w:bCs/>
        </w:rPr>
        <w:t>5.4.2 Planned Enhancements</w:t>
      </w:r>
    </w:p>
    <w:p w14:paraId="28EDFDA6" w14:textId="77777777" w:rsidR="00BC203A" w:rsidRDefault="00000000">
      <w:pPr>
        <w:spacing w:after="200" w:line="480" w:lineRule="auto"/>
        <w:ind w:firstLine="720"/>
        <w:jc w:val="both"/>
      </w:pPr>
      <w:r>
        <w:t>Future development priorities include dynamic connectivity analysis for time-series data, additional correlation and connectivity methods, batch processing for multiple datasets, API for programmatic access and pipeline integration, Docker containerization for simplified deployment, and integration with neuroimaging preprocessing pipelines.</w:t>
      </w:r>
    </w:p>
    <w:p w14:paraId="4D28A132" w14:textId="77777777" w:rsidR="00BC203A" w:rsidRDefault="00000000">
      <w:pPr>
        <w:pStyle w:val="Heading2"/>
        <w:spacing w:before="400" w:after="200"/>
      </w:pPr>
      <w:r>
        <w:t>5.5 Conclusions</w:t>
      </w:r>
    </w:p>
    <w:p w14:paraId="2ABCD77A" w14:textId="77777777" w:rsidR="00BC203A" w:rsidRDefault="00000000">
      <w:pPr>
        <w:spacing w:after="200" w:line="480" w:lineRule="auto"/>
        <w:ind w:firstLine="720"/>
        <w:jc w:val="both"/>
      </w:pPr>
      <w:proofErr w:type="spellStart"/>
      <w:r>
        <w:t>ConsensusConnectR</w:t>
      </w:r>
      <w:proofErr w:type="spellEnd"/>
      <w:r>
        <w:t xml:space="preserve"> provides researchers with an accessible, comprehensive tool for robust functional connectivity analysis. By integrating multiple correlation methods with multiple analytical frameworks and synthesizing results through a consensus approach, the software addresses fundamental challenges of methodological variability that affect connectivity research. Validation through published research demonstrates the software's capacity to reveal biologically meaningful network features. Open-source availability supports transparency, reproducibility, and community contribution to ongoing development.</w:t>
      </w:r>
    </w:p>
    <w:p w14:paraId="29A334C5" w14:textId="77777777" w:rsidR="00BC203A" w:rsidRDefault="00000000">
      <w:r>
        <w:br w:type="page"/>
      </w:r>
    </w:p>
    <w:p w14:paraId="752C2E0C" w14:textId="77777777" w:rsidR="00BC203A" w:rsidRDefault="00000000">
      <w:pPr>
        <w:pStyle w:val="Heading1"/>
      </w:pPr>
      <w:r>
        <w:lastRenderedPageBreak/>
        <w:t>6. DATA AND CODE AVAILABILITY STATEMENT</w:t>
      </w:r>
    </w:p>
    <w:p w14:paraId="3AEF8350" w14:textId="77777777" w:rsidR="00BC203A" w:rsidRDefault="00000000">
      <w:pPr>
        <w:spacing w:after="200" w:line="480" w:lineRule="auto"/>
        <w:jc w:val="both"/>
      </w:pPr>
      <w:proofErr w:type="spellStart"/>
      <w:r>
        <w:t>ConsensusConnectR</w:t>
      </w:r>
      <w:proofErr w:type="spellEnd"/>
      <w:r>
        <w:t xml:space="preserve"> is freely available under [LICENSE] at [REPOSITORY URL]. The repository includes complete source code, sample dataset for demonstration, installation documentation, user guide and tutorials, and function reference. Requirements: R ≥ 4.0, dependencies listed in Table 1. Live demonstration: [SHINYAPPS.IO URL IF AVAILABLE]</w:t>
      </w:r>
    </w:p>
    <w:p w14:paraId="118D5EC5" w14:textId="77777777" w:rsidR="00BC203A" w:rsidRDefault="00000000">
      <w:pPr>
        <w:pStyle w:val="Heading1"/>
      </w:pPr>
      <w:r>
        <w:t>7. AUTHOR CONTRIBUTIONS (</w:t>
      </w:r>
      <w:proofErr w:type="spellStart"/>
      <w:r>
        <w:t>CRediT</w:t>
      </w:r>
      <w:proofErr w:type="spellEnd"/>
      <w:r>
        <w:t>)</w:t>
      </w:r>
    </w:p>
    <w:p w14:paraId="777962B6" w14:textId="77777777" w:rsidR="00BC203A" w:rsidRDefault="00000000">
      <w:pPr>
        <w:spacing w:after="200" w:line="480" w:lineRule="auto"/>
        <w:jc w:val="both"/>
      </w:pPr>
      <w:r>
        <w:t>[TO BE COMPLETED]</w:t>
      </w:r>
    </w:p>
    <w:p w14:paraId="06CCD456" w14:textId="77777777" w:rsidR="00BC203A" w:rsidRDefault="00000000">
      <w:pPr>
        <w:spacing w:after="200" w:line="480" w:lineRule="auto"/>
        <w:jc w:val="both"/>
      </w:pPr>
      <w:r>
        <w:t>Conceptualization:</w:t>
      </w:r>
    </w:p>
    <w:p w14:paraId="7AFA903A" w14:textId="77777777" w:rsidR="00BC203A" w:rsidRDefault="00000000">
      <w:pPr>
        <w:spacing w:after="200" w:line="480" w:lineRule="auto"/>
        <w:jc w:val="both"/>
      </w:pPr>
      <w:r>
        <w:t>Methodology:</w:t>
      </w:r>
    </w:p>
    <w:p w14:paraId="797BE89E" w14:textId="77777777" w:rsidR="00BC203A" w:rsidRDefault="00000000">
      <w:pPr>
        <w:spacing w:after="200" w:line="480" w:lineRule="auto"/>
        <w:jc w:val="both"/>
      </w:pPr>
      <w:r>
        <w:t>Software:</w:t>
      </w:r>
    </w:p>
    <w:p w14:paraId="2197F6CD" w14:textId="77777777" w:rsidR="00BC203A" w:rsidRDefault="00000000">
      <w:pPr>
        <w:spacing w:after="200" w:line="480" w:lineRule="auto"/>
        <w:jc w:val="both"/>
      </w:pPr>
      <w:r>
        <w:t>Validation:</w:t>
      </w:r>
    </w:p>
    <w:p w14:paraId="5DE3E49F" w14:textId="77777777" w:rsidR="00BC203A" w:rsidRDefault="00000000">
      <w:pPr>
        <w:spacing w:after="200" w:line="480" w:lineRule="auto"/>
        <w:jc w:val="both"/>
      </w:pPr>
      <w:r>
        <w:t>Writing - Original Draft:</w:t>
      </w:r>
    </w:p>
    <w:p w14:paraId="0AC692EA" w14:textId="77777777" w:rsidR="00BC203A" w:rsidRDefault="00000000">
      <w:pPr>
        <w:spacing w:after="200" w:line="480" w:lineRule="auto"/>
        <w:jc w:val="both"/>
      </w:pPr>
      <w:r>
        <w:t>Writing - Review &amp; Editing:</w:t>
      </w:r>
    </w:p>
    <w:p w14:paraId="7EFEC4BD" w14:textId="77777777" w:rsidR="00BC203A" w:rsidRDefault="00000000">
      <w:pPr>
        <w:spacing w:after="200" w:line="480" w:lineRule="auto"/>
        <w:jc w:val="both"/>
      </w:pPr>
      <w:r>
        <w:t>Visualization:</w:t>
      </w:r>
    </w:p>
    <w:p w14:paraId="0ECE8D89" w14:textId="77777777" w:rsidR="00BC203A" w:rsidRDefault="00000000">
      <w:pPr>
        <w:spacing w:after="200" w:line="480" w:lineRule="auto"/>
        <w:jc w:val="both"/>
      </w:pPr>
      <w:r>
        <w:t>Supervision:</w:t>
      </w:r>
    </w:p>
    <w:p w14:paraId="25187273" w14:textId="77777777" w:rsidR="00BC203A" w:rsidRDefault="00000000">
      <w:pPr>
        <w:spacing w:after="200" w:line="480" w:lineRule="auto"/>
        <w:jc w:val="both"/>
      </w:pPr>
      <w:r>
        <w:t>Funding acquisition:</w:t>
      </w:r>
    </w:p>
    <w:p w14:paraId="35EB69AA" w14:textId="77777777" w:rsidR="00BC203A" w:rsidRDefault="00000000">
      <w:pPr>
        <w:pStyle w:val="Heading1"/>
      </w:pPr>
      <w:r>
        <w:t>8. ACKNOWLEDGMENTS</w:t>
      </w:r>
    </w:p>
    <w:p w14:paraId="234167F7" w14:textId="77777777" w:rsidR="00BC203A" w:rsidRDefault="00000000">
      <w:pPr>
        <w:spacing w:after="200" w:line="480" w:lineRule="auto"/>
        <w:jc w:val="both"/>
      </w:pPr>
      <w:r>
        <w:t>[TO BE COMPLETED]</w:t>
      </w:r>
    </w:p>
    <w:p w14:paraId="1F3E33F7" w14:textId="77777777" w:rsidR="00BC203A" w:rsidRDefault="00000000">
      <w:pPr>
        <w:pStyle w:val="Heading1"/>
      </w:pPr>
      <w:r>
        <w:lastRenderedPageBreak/>
        <w:t>9. DECLARATION OF COMPETING INTERESTS</w:t>
      </w:r>
    </w:p>
    <w:p w14:paraId="305C5E47" w14:textId="77777777" w:rsidR="00BC203A" w:rsidRDefault="00000000">
      <w:pPr>
        <w:spacing w:after="200" w:line="480" w:lineRule="auto"/>
        <w:jc w:val="both"/>
      </w:pPr>
      <w:r>
        <w:t>[TO BE COMPLETED]</w:t>
      </w:r>
    </w:p>
    <w:p w14:paraId="62999193" w14:textId="77777777" w:rsidR="00BC203A" w:rsidRDefault="00000000">
      <w:r>
        <w:br w:type="page"/>
      </w:r>
    </w:p>
    <w:p w14:paraId="38728EB1" w14:textId="77777777" w:rsidR="00BC203A" w:rsidRDefault="00000000">
      <w:pPr>
        <w:pStyle w:val="Heading1"/>
      </w:pPr>
      <w:r>
        <w:lastRenderedPageBreak/>
        <w:t>10. REFERENCES</w:t>
      </w:r>
    </w:p>
    <w:p w14:paraId="1DD8F16C" w14:textId="77777777" w:rsidR="00BC203A" w:rsidRDefault="00000000">
      <w:pPr>
        <w:spacing w:after="120"/>
        <w:ind w:left="720" w:hanging="720"/>
      </w:pPr>
      <w:r>
        <w:rPr>
          <w:sz w:val="22"/>
          <w:szCs w:val="22"/>
        </w:rPr>
        <w:t>Achard, S., Salvador, R., Whitcher, B., Suckling, J., Bullmore, E., 2006. A resilient, low-frequency, small-world human brain functional network with highly connected association cortical hubs. Journal of Neuroscience 26, 63-72. https://doi.org/10.1523/JNEUROSCI.3874-05.2006</w:t>
      </w:r>
    </w:p>
    <w:p w14:paraId="26B27CE6" w14:textId="77777777" w:rsidR="00BC203A" w:rsidRDefault="00000000">
      <w:pPr>
        <w:spacing w:after="120"/>
        <w:ind w:left="720" w:hanging="720"/>
      </w:pPr>
      <w:r>
        <w:rPr>
          <w:sz w:val="22"/>
          <w:szCs w:val="22"/>
        </w:rPr>
        <w:t>Barrat, A., Barthelemy, M., Pastor-</w:t>
      </w:r>
      <w:proofErr w:type="spellStart"/>
      <w:r>
        <w:rPr>
          <w:sz w:val="22"/>
          <w:szCs w:val="22"/>
        </w:rPr>
        <w:t>Satorras</w:t>
      </w:r>
      <w:proofErr w:type="spellEnd"/>
      <w:r>
        <w:rPr>
          <w:sz w:val="22"/>
          <w:szCs w:val="22"/>
        </w:rPr>
        <w:t xml:space="preserve">, R., </w:t>
      </w:r>
      <w:proofErr w:type="spellStart"/>
      <w:r>
        <w:rPr>
          <w:sz w:val="22"/>
          <w:szCs w:val="22"/>
        </w:rPr>
        <w:t>Vespignani</w:t>
      </w:r>
      <w:proofErr w:type="spellEnd"/>
      <w:r>
        <w:rPr>
          <w:sz w:val="22"/>
          <w:szCs w:val="22"/>
        </w:rPr>
        <w:t>, A., 2004. The architecture of complex weighted networks. Proceedings of the National Academy of Sciences 101, 3747-3752. https://doi.org/10.1073/pnas.0400087101</w:t>
      </w:r>
    </w:p>
    <w:p w14:paraId="286E5408" w14:textId="77777777" w:rsidR="00BC203A" w:rsidRDefault="00000000">
      <w:pPr>
        <w:spacing w:after="120"/>
        <w:ind w:left="720" w:hanging="720"/>
      </w:pPr>
      <w:r>
        <w:rPr>
          <w:sz w:val="22"/>
          <w:szCs w:val="22"/>
        </w:rPr>
        <w:t>Bassett, D.S., Bullmore, E.T., 2017. Small-world brain networks revisited. Neuroscientist 23, 499-516. https://doi.org/10.1177/1073858416667720</w:t>
      </w:r>
    </w:p>
    <w:p w14:paraId="2B9A6D88" w14:textId="77777777" w:rsidR="00BC203A" w:rsidRDefault="00000000">
      <w:pPr>
        <w:spacing w:after="120"/>
        <w:ind w:left="720" w:hanging="720"/>
      </w:pPr>
      <w:r>
        <w:rPr>
          <w:sz w:val="22"/>
          <w:szCs w:val="22"/>
        </w:rPr>
        <w:t xml:space="preserve">Bassett, D.S., </w:t>
      </w:r>
      <w:proofErr w:type="spellStart"/>
      <w:r>
        <w:rPr>
          <w:sz w:val="22"/>
          <w:szCs w:val="22"/>
        </w:rPr>
        <w:t>Sporns</w:t>
      </w:r>
      <w:proofErr w:type="spellEnd"/>
      <w:r>
        <w:rPr>
          <w:sz w:val="22"/>
          <w:szCs w:val="22"/>
        </w:rPr>
        <w:t>, O., 2017. Network neuroscience. Nature Neuroscience 20, 353-364. https://doi.org/10.1038/nn.4502</w:t>
      </w:r>
    </w:p>
    <w:p w14:paraId="5E68BDD7" w14:textId="77777777" w:rsidR="00BC203A" w:rsidRDefault="00000000">
      <w:pPr>
        <w:spacing w:after="120"/>
        <w:ind w:left="720" w:hanging="720"/>
      </w:pPr>
      <w:r>
        <w:rPr>
          <w:sz w:val="22"/>
          <w:szCs w:val="22"/>
        </w:rPr>
        <w:t>Blondel, V.D., Guillaume, J.L., Lambiotte, R., Lefebvre, E., 2008. Fast unfolding of communities in large networks. Journal of Statistical Mechanics: Theory and Experiment 2008, P10008. https://doi.org/10.1088/1742-5468/2008/10/P10008</w:t>
      </w:r>
    </w:p>
    <w:p w14:paraId="7347CD39" w14:textId="77777777" w:rsidR="00BC203A" w:rsidRDefault="00000000">
      <w:pPr>
        <w:spacing w:after="120"/>
        <w:ind w:left="720" w:hanging="720"/>
      </w:pPr>
      <w:r>
        <w:rPr>
          <w:sz w:val="22"/>
          <w:szCs w:val="22"/>
        </w:rPr>
        <w:t>Bonacich, P., 1987. Power and centrality: A family of measures. American Journal of Sociology 92, 1170-1182. https://doi.org/10.1086/228631</w:t>
      </w:r>
    </w:p>
    <w:p w14:paraId="24990808" w14:textId="77777777" w:rsidR="00BC203A" w:rsidRDefault="00000000">
      <w:pPr>
        <w:spacing w:after="120"/>
        <w:ind w:left="720" w:hanging="720"/>
      </w:pPr>
      <w:r>
        <w:rPr>
          <w:sz w:val="22"/>
          <w:szCs w:val="22"/>
        </w:rPr>
        <w:t>Bordier, C., Nicolini, C., Bhattacharyya, S., 2017. Graph analysis and modularity of brain functional connectivity networks: Searching for the optimal threshold. Frontiers in Neuroscience 11, 441. https://doi.org/10.3389/fnins.2017.00441</w:t>
      </w:r>
    </w:p>
    <w:p w14:paraId="1DD5EC5B" w14:textId="77777777" w:rsidR="00BC203A" w:rsidRDefault="00000000">
      <w:pPr>
        <w:spacing w:after="120"/>
        <w:ind w:left="720" w:hanging="720"/>
      </w:pPr>
      <w:r>
        <w:rPr>
          <w:sz w:val="22"/>
          <w:szCs w:val="22"/>
        </w:rPr>
        <w:t xml:space="preserve">Bullmore, E., </w:t>
      </w:r>
      <w:proofErr w:type="spellStart"/>
      <w:r>
        <w:rPr>
          <w:sz w:val="22"/>
          <w:szCs w:val="22"/>
        </w:rPr>
        <w:t>Sporns</w:t>
      </w:r>
      <w:proofErr w:type="spellEnd"/>
      <w:r>
        <w:rPr>
          <w:sz w:val="22"/>
          <w:szCs w:val="22"/>
        </w:rPr>
        <w:t>, O., 2009. Complex brain networks: graph theoretical analysis of structural and functional systems. Nature Reviews Neuroscience 10, 186-198. https://doi.org/10.1038/nrn2575</w:t>
      </w:r>
    </w:p>
    <w:p w14:paraId="32D9238B" w14:textId="77777777" w:rsidR="00BC203A" w:rsidRDefault="00000000">
      <w:pPr>
        <w:spacing w:after="120"/>
        <w:ind w:left="720" w:hanging="720"/>
      </w:pPr>
      <w:r>
        <w:rPr>
          <w:sz w:val="22"/>
          <w:szCs w:val="22"/>
        </w:rPr>
        <w:t xml:space="preserve">Button, K.S., Ioannidis, J.P., </w:t>
      </w:r>
      <w:proofErr w:type="spellStart"/>
      <w:r>
        <w:rPr>
          <w:sz w:val="22"/>
          <w:szCs w:val="22"/>
        </w:rPr>
        <w:t>Mokrysz</w:t>
      </w:r>
      <w:proofErr w:type="spellEnd"/>
      <w:r>
        <w:rPr>
          <w:sz w:val="22"/>
          <w:szCs w:val="22"/>
        </w:rPr>
        <w:t>, C., Nosek, B.A., Flint, J., Robinson, E.S., Munafo, M.R., 2013. Power failure: why small sample size undermines the reliability of neuroscience. Nature Reviews Neuroscience 14, 365-376. https://doi.org/10.1038/nrn3475</w:t>
      </w:r>
    </w:p>
    <w:p w14:paraId="4F356615" w14:textId="77777777" w:rsidR="00BC203A" w:rsidRDefault="00000000">
      <w:pPr>
        <w:spacing w:after="120"/>
        <w:ind w:left="720" w:hanging="720"/>
      </w:pPr>
      <w:r>
        <w:rPr>
          <w:sz w:val="22"/>
          <w:szCs w:val="22"/>
        </w:rPr>
        <w:t>Chang, W., Cheng, J., Allaire, J.J., Sievert, C., Schloerke, B., Xie, Y., Allen, J., McPherson, J., Dipert, A., Borges, B., 2024. shiny: Web Application Framework for R. R package version 1.8.0. https://CRAN.R-project.org/package=shiny</w:t>
      </w:r>
    </w:p>
    <w:p w14:paraId="4E9A249F" w14:textId="77777777" w:rsidR="00BC203A" w:rsidRDefault="00000000">
      <w:pPr>
        <w:spacing w:after="120"/>
        <w:ind w:left="720" w:hanging="720"/>
      </w:pPr>
      <w:r>
        <w:rPr>
          <w:sz w:val="22"/>
          <w:szCs w:val="22"/>
        </w:rPr>
        <w:t xml:space="preserve">Csardi, G., </w:t>
      </w:r>
      <w:proofErr w:type="spellStart"/>
      <w:r>
        <w:rPr>
          <w:sz w:val="22"/>
          <w:szCs w:val="22"/>
        </w:rPr>
        <w:t>Nepusz</w:t>
      </w:r>
      <w:proofErr w:type="spellEnd"/>
      <w:r>
        <w:rPr>
          <w:sz w:val="22"/>
          <w:szCs w:val="22"/>
        </w:rPr>
        <w:t xml:space="preserve">, T., 2006. The </w:t>
      </w:r>
      <w:proofErr w:type="spellStart"/>
      <w:r>
        <w:rPr>
          <w:sz w:val="22"/>
          <w:szCs w:val="22"/>
        </w:rPr>
        <w:t>igraph</w:t>
      </w:r>
      <w:proofErr w:type="spellEnd"/>
      <w:r>
        <w:rPr>
          <w:sz w:val="22"/>
          <w:szCs w:val="22"/>
        </w:rPr>
        <w:t xml:space="preserve"> software package for complex network research. </w:t>
      </w:r>
      <w:proofErr w:type="spellStart"/>
      <w:r>
        <w:rPr>
          <w:sz w:val="22"/>
          <w:szCs w:val="22"/>
        </w:rPr>
        <w:t>InterJournal</w:t>
      </w:r>
      <w:proofErr w:type="spellEnd"/>
      <w:r>
        <w:rPr>
          <w:sz w:val="22"/>
          <w:szCs w:val="22"/>
        </w:rPr>
        <w:t xml:space="preserve"> Complex Systems, 1695. https://igraph.org</w:t>
      </w:r>
    </w:p>
    <w:p w14:paraId="0A7BBE4F" w14:textId="77777777" w:rsidR="00BC203A" w:rsidRDefault="00000000">
      <w:pPr>
        <w:spacing w:after="120"/>
        <w:ind w:left="720" w:hanging="720"/>
      </w:pPr>
      <w:r>
        <w:rPr>
          <w:sz w:val="22"/>
          <w:szCs w:val="22"/>
        </w:rPr>
        <w:t>Dietterich, T.G., 2000. Ensemble methods in machine learning, in: Kittler, J., Roli, F. (Eds.), Multiple Classifier Systems. Springer, Berlin, pp. 1-15. https://doi.org/10.1007/3-540-45014-9_1</w:t>
      </w:r>
    </w:p>
    <w:p w14:paraId="4840884F" w14:textId="77777777" w:rsidR="00BC203A" w:rsidRDefault="00000000">
      <w:pPr>
        <w:spacing w:after="120"/>
        <w:ind w:left="720" w:hanging="720"/>
      </w:pPr>
      <w:proofErr w:type="spellStart"/>
      <w:r>
        <w:rPr>
          <w:sz w:val="22"/>
          <w:szCs w:val="22"/>
        </w:rPr>
        <w:t>Fornito</w:t>
      </w:r>
      <w:proofErr w:type="spellEnd"/>
      <w:r>
        <w:rPr>
          <w:sz w:val="22"/>
          <w:szCs w:val="22"/>
        </w:rPr>
        <w:t xml:space="preserve">, A., Zalesky, A., Breakspear, M., 2015. The </w:t>
      </w:r>
      <w:proofErr w:type="spellStart"/>
      <w:r>
        <w:rPr>
          <w:sz w:val="22"/>
          <w:szCs w:val="22"/>
        </w:rPr>
        <w:t>connectomics</w:t>
      </w:r>
      <w:proofErr w:type="spellEnd"/>
      <w:r>
        <w:rPr>
          <w:sz w:val="22"/>
          <w:szCs w:val="22"/>
        </w:rPr>
        <w:t xml:space="preserve"> of brain disorders. Nature Reviews Neuroscience 16, 159-172. https://doi.org/10.1038/nrn3901</w:t>
      </w:r>
    </w:p>
    <w:p w14:paraId="6EBA0D99" w14:textId="77777777" w:rsidR="00BC203A" w:rsidRDefault="00000000">
      <w:pPr>
        <w:spacing w:after="120"/>
        <w:ind w:left="720" w:hanging="720"/>
      </w:pPr>
      <w:proofErr w:type="spellStart"/>
      <w:r>
        <w:rPr>
          <w:sz w:val="22"/>
          <w:szCs w:val="22"/>
        </w:rPr>
        <w:t>Fornito</w:t>
      </w:r>
      <w:proofErr w:type="spellEnd"/>
      <w:r>
        <w:rPr>
          <w:sz w:val="22"/>
          <w:szCs w:val="22"/>
        </w:rPr>
        <w:t>, A., Zalesky, A., Bullmore, E.T., 2016. Fundamentals of Brain Network Analysis. Academic Press, San Diego.</w:t>
      </w:r>
    </w:p>
    <w:p w14:paraId="72A88AAF" w14:textId="77777777" w:rsidR="00BC203A" w:rsidRDefault="00000000">
      <w:pPr>
        <w:spacing w:after="120"/>
        <w:ind w:left="720" w:hanging="720"/>
      </w:pPr>
      <w:r>
        <w:rPr>
          <w:sz w:val="22"/>
          <w:szCs w:val="22"/>
        </w:rPr>
        <w:t>Freeman, L.C., 1978. Centrality in social networks conceptual clarification. Social Networks 1, 215-239. https://doi.org/10.1016/0378-8733(78)90021-7</w:t>
      </w:r>
    </w:p>
    <w:p w14:paraId="46DD4F30" w14:textId="77777777" w:rsidR="00BC203A" w:rsidRDefault="00000000">
      <w:pPr>
        <w:spacing w:after="120"/>
        <w:ind w:left="720" w:hanging="720"/>
      </w:pPr>
      <w:r>
        <w:rPr>
          <w:sz w:val="22"/>
          <w:szCs w:val="22"/>
        </w:rPr>
        <w:t xml:space="preserve">Gallos, L.K., </w:t>
      </w:r>
      <w:proofErr w:type="spellStart"/>
      <w:r>
        <w:rPr>
          <w:sz w:val="22"/>
          <w:szCs w:val="22"/>
        </w:rPr>
        <w:t>Makse</w:t>
      </w:r>
      <w:proofErr w:type="spellEnd"/>
      <w:r>
        <w:rPr>
          <w:sz w:val="22"/>
          <w:szCs w:val="22"/>
        </w:rPr>
        <w:t>, H.A., Sigman, M., 2012. A small world of weak ties provides optimal global integration of self-similar modules in functional brain networks. Proceedings of the National Academy of Sciences 109, 2825-2830. https://doi.org/10.1073/pnas.1106612109</w:t>
      </w:r>
    </w:p>
    <w:p w14:paraId="3333C8C5" w14:textId="77777777" w:rsidR="00BC203A" w:rsidRDefault="00000000">
      <w:pPr>
        <w:spacing w:after="120"/>
        <w:ind w:left="720" w:hanging="720"/>
      </w:pPr>
      <w:r>
        <w:rPr>
          <w:sz w:val="22"/>
          <w:szCs w:val="22"/>
        </w:rPr>
        <w:lastRenderedPageBreak/>
        <w:t xml:space="preserve">Garrison, K.A., Scheinost, D., Finn, E.S., Shen, X., Constable, R.T., 2015. The impact of proportional thresholding on functional connectivity analysis. </w:t>
      </w:r>
      <w:proofErr w:type="spellStart"/>
      <w:r>
        <w:rPr>
          <w:sz w:val="22"/>
          <w:szCs w:val="22"/>
        </w:rPr>
        <w:t>NeuroImage</w:t>
      </w:r>
      <w:proofErr w:type="spellEnd"/>
      <w:r>
        <w:rPr>
          <w:sz w:val="22"/>
          <w:szCs w:val="22"/>
        </w:rPr>
        <w:t xml:space="preserve"> 118, 561-570. https://doi.org/10.1016/j.neuroimage.2015.05.011</w:t>
      </w:r>
    </w:p>
    <w:p w14:paraId="64A9E95B" w14:textId="77777777" w:rsidR="00BC203A" w:rsidRDefault="00000000">
      <w:pPr>
        <w:spacing w:after="120"/>
        <w:ind w:left="720" w:hanging="720"/>
      </w:pPr>
      <w:r>
        <w:rPr>
          <w:sz w:val="22"/>
          <w:szCs w:val="22"/>
        </w:rPr>
        <w:t>Giusti, C., Ghrist, R., Bassett, D.S., 2016. Two's company, three (or more) is a simplex: Algebraic-topological tools for understanding higher-order structure in neural data. Journal of Computational Neuroscience 41, 1-14. https://doi.org/10.1007/s10827-016-0608-6</w:t>
      </w:r>
    </w:p>
    <w:p w14:paraId="656A4650" w14:textId="77777777" w:rsidR="00BC203A" w:rsidRDefault="00000000">
      <w:pPr>
        <w:spacing w:after="120"/>
        <w:ind w:left="720" w:hanging="720"/>
      </w:pPr>
      <w:r>
        <w:rPr>
          <w:sz w:val="22"/>
          <w:szCs w:val="22"/>
        </w:rPr>
        <w:t>Hallquist, M.N., Hillary, F.G., 2019. Graph theory approaches to functional network organization in brain disorders: A critique for a brave new small-world. Network Neuroscience 3, 1-26. https://doi.org/10.1162/netn_a_00054</w:t>
      </w:r>
    </w:p>
    <w:p w14:paraId="39184760" w14:textId="77777777" w:rsidR="00BC203A" w:rsidRDefault="00000000">
      <w:pPr>
        <w:spacing w:after="120"/>
        <w:ind w:left="720" w:hanging="720"/>
      </w:pPr>
      <w:r>
        <w:rPr>
          <w:sz w:val="22"/>
          <w:szCs w:val="22"/>
        </w:rPr>
        <w:t xml:space="preserve">Jenkinson, M., Beckmann, C.F., Behrens, T.E., Woolrich, M.W., Smith, S.M., 2012. FSL. </w:t>
      </w:r>
      <w:proofErr w:type="spellStart"/>
      <w:r>
        <w:rPr>
          <w:sz w:val="22"/>
          <w:szCs w:val="22"/>
        </w:rPr>
        <w:t>NeuroImage</w:t>
      </w:r>
      <w:proofErr w:type="spellEnd"/>
      <w:r>
        <w:rPr>
          <w:sz w:val="22"/>
          <w:szCs w:val="22"/>
        </w:rPr>
        <w:t xml:space="preserve"> 62, 782-790. https://doi.org/10.1016/j.neuroimage.2011.09.015</w:t>
      </w:r>
    </w:p>
    <w:p w14:paraId="7376FF52" w14:textId="77777777" w:rsidR="00BC203A" w:rsidRDefault="00000000">
      <w:pPr>
        <w:spacing w:after="120"/>
        <w:ind w:left="720" w:hanging="720"/>
      </w:pPr>
      <w:proofErr w:type="spellStart"/>
      <w:r>
        <w:rPr>
          <w:sz w:val="22"/>
          <w:szCs w:val="22"/>
        </w:rPr>
        <w:t>Lancichinetti</w:t>
      </w:r>
      <w:proofErr w:type="spellEnd"/>
      <w:r>
        <w:rPr>
          <w:sz w:val="22"/>
          <w:szCs w:val="22"/>
        </w:rPr>
        <w:t>, A., Fortunato, S., 2012. Consensus clustering in complex networks. Scientific Reports 2, 336. https://doi.org/10.1038/srep00336</w:t>
      </w:r>
    </w:p>
    <w:p w14:paraId="372DD7A3" w14:textId="77777777" w:rsidR="00BC203A" w:rsidRDefault="00000000">
      <w:pPr>
        <w:spacing w:after="120"/>
        <w:ind w:left="720" w:hanging="720"/>
      </w:pPr>
      <w:r>
        <w:rPr>
          <w:sz w:val="22"/>
          <w:szCs w:val="22"/>
        </w:rPr>
        <w:t>Langfelder, P., Horvath, S., 2012. Fast R functions for robust correlations and hierarchical clustering. Journal of Statistical Software 46, 1-17. https://doi.org/10.18637/jss.v046.i11</w:t>
      </w:r>
    </w:p>
    <w:p w14:paraId="74B662F3" w14:textId="77777777" w:rsidR="00BC203A" w:rsidRDefault="00000000">
      <w:pPr>
        <w:spacing w:after="120"/>
        <w:ind w:left="720" w:hanging="720"/>
      </w:pPr>
      <w:proofErr w:type="spellStart"/>
      <w:r>
        <w:rPr>
          <w:sz w:val="22"/>
          <w:szCs w:val="22"/>
        </w:rPr>
        <w:t>Ledoit</w:t>
      </w:r>
      <w:proofErr w:type="spellEnd"/>
      <w:r>
        <w:rPr>
          <w:sz w:val="22"/>
          <w:szCs w:val="22"/>
        </w:rPr>
        <w:t>, O., Wolf, M., 2004. A well-conditioned estimator for large-dimensional covariance matrices. Journal of Multivariate Analysis 88, 365-411. https://doi.org/10.1016/S0047-259X(03)00096-4</w:t>
      </w:r>
    </w:p>
    <w:p w14:paraId="13FF0335" w14:textId="77777777" w:rsidR="00BC203A" w:rsidRDefault="00000000">
      <w:pPr>
        <w:spacing w:after="120"/>
        <w:ind w:left="720" w:hanging="720"/>
      </w:pPr>
      <w:r>
        <w:rPr>
          <w:sz w:val="22"/>
          <w:szCs w:val="22"/>
        </w:rPr>
        <w:t xml:space="preserve">Lee, B.H., McGovern, A.J., Lieblich, S.E., Mitchell, S.V., Yin, J., Epp, J.R., Galea, L.A.M., 2026. Sex-specific factors and APOEε4 genotype alter functional connectivity at middle age. </w:t>
      </w:r>
      <w:proofErr w:type="spellStart"/>
      <w:r>
        <w:rPr>
          <w:sz w:val="22"/>
          <w:szCs w:val="22"/>
        </w:rPr>
        <w:t>Psychoneuroendocrinology</w:t>
      </w:r>
      <w:proofErr w:type="spellEnd"/>
      <w:r>
        <w:rPr>
          <w:sz w:val="22"/>
          <w:szCs w:val="22"/>
        </w:rPr>
        <w:t xml:space="preserve"> 183, 107655. https://doi.org/10.1016/j.psyneuen.2025.107655</w:t>
      </w:r>
    </w:p>
    <w:p w14:paraId="392AD6B4" w14:textId="77777777" w:rsidR="00BC203A" w:rsidRDefault="00000000">
      <w:pPr>
        <w:spacing w:after="120"/>
        <w:ind w:left="720" w:hanging="720"/>
      </w:pPr>
      <w:r>
        <w:rPr>
          <w:sz w:val="22"/>
          <w:szCs w:val="22"/>
        </w:rPr>
        <w:t>Little, R.J.A., Rubin, D.B., 2019. Statistical Analysis with Missing Data, 3rd ed. John Wiley &amp; Sons, Hoboken.</w:t>
      </w:r>
    </w:p>
    <w:p w14:paraId="3B7B980C" w14:textId="77777777" w:rsidR="00BC203A" w:rsidRDefault="00000000">
      <w:pPr>
        <w:spacing w:after="120"/>
        <w:ind w:left="720" w:hanging="720"/>
      </w:pPr>
      <w:proofErr w:type="spellStart"/>
      <w:r>
        <w:rPr>
          <w:sz w:val="22"/>
          <w:szCs w:val="22"/>
        </w:rPr>
        <w:t>Marrelec</w:t>
      </w:r>
      <w:proofErr w:type="spellEnd"/>
      <w:r>
        <w:rPr>
          <w:sz w:val="22"/>
          <w:szCs w:val="22"/>
        </w:rPr>
        <w:t xml:space="preserve">, G., Krainik, A., Duffau, H., </w:t>
      </w:r>
      <w:proofErr w:type="spellStart"/>
      <w:r>
        <w:rPr>
          <w:sz w:val="22"/>
          <w:szCs w:val="22"/>
        </w:rPr>
        <w:t>Pelegrini</w:t>
      </w:r>
      <w:proofErr w:type="spellEnd"/>
      <w:r>
        <w:rPr>
          <w:sz w:val="22"/>
          <w:szCs w:val="22"/>
        </w:rPr>
        <w:t xml:space="preserve">-Issac, M., </w:t>
      </w:r>
      <w:proofErr w:type="spellStart"/>
      <w:r>
        <w:rPr>
          <w:sz w:val="22"/>
          <w:szCs w:val="22"/>
        </w:rPr>
        <w:t>Lehericy</w:t>
      </w:r>
      <w:proofErr w:type="spellEnd"/>
      <w:r>
        <w:rPr>
          <w:sz w:val="22"/>
          <w:szCs w:val="22"/>
        </w:rPr>
        <w:t xml:space="preserve">, S., Doyon, J., Benali, H., 2006. Partial correlation for functional brain interactivity investigation in functional MRI. </w:t>
      </w:r>
      <w:proofErr w:type="spellStart"/>
      <w:r>
        <w:rPr>
          <w:sz w:val="22"/>
          <w:szCs w:val="22"/>
        </w:rPr>
        <w:t>NeuroImage</w:t>
      </w:r>
      <w:proofErr w:type="spellEnd"/>
      <w:r>
        <w:rPr>
          <w:sz w:val="22"/>
          <w:szCs w:val="22"/>
        </w:rPr>
        <w:t xml:space="preserve"> 32, 228-237. https://doi.org/10.1016/j.neuroimage.2005.12.057</w:t>
      </w:r>
    </w:p>
    <w:p w14:paraId="0F84EA57" w14:textId="77777777" w:rsidR="00BC203A" w:rsidRDefault="00000000">
      <w:pPr>
        <w:spacing w:after="120"/>
        <w:ind w:left="720" w:hanging="720"/>
      </w:pPr>
      <w:r>
        <w:rPr>
          <w:sz w:val="22"/>
          <w:szCs w:val="22"/>
        </w:rPr>
        <w:t>Meunier, D., Lambiotte, R., Bullmore, E.T., 2010. Modular and hierarchically modular organization of brain networks. Frontiers in Neuroscience 4, 200. https://doi.org/10.3389/fnins.2010.00200</w:t>
      </w:r>
    </w:p>
    <w:p w14:paraId="791EC73F" w14:textId="77777777" w:rsidR="00BC203A" w:rsidRDefault="00000000">
      <w:pPr>
        <w:spacing w:after="120"/>
        <w:ind w:left="720" w:hanging="720"/>
      </w:pPr>
      <w:r>
        <w:rPr>
          <w:sz w:val="22"/>
          <w:szCs w:val="22"/>
        </w:rPr>
        <w:t>Newman, M.E.J., 2004. Analysis of weighted networks. Physical Review E 70, 056131. https://doi.org/10.1103/PhysRevE.70.056131</w:t>
      </w:r>
    </w:p>
    <w:p w14:paraId="2CCEAC35" w14:textId="77777777" w:rsidR="00BC203A" w:rsidRDefault="00000000">
      <w:pPr>
        <w:spacing w:after="120"/>
        <w:ind w:left="720" w:hanging="720"/>
      </w:pPr>
      <w:r>
        <w:rPr>
          <w:sz w:val="22"/>
          <w:szCs w:val="22"/>
        </w:rPr>
        <w:t>Newman, M.E.J., 2006. Modularity and community structure in networks. Proceedings of the National Academy of Sciences 103, 8577-8582. https://doi.org/10.1073/pnas.0601602103</w:t>
      </w:r>
    </w:p>
    <w:p w14:paraId="0FB12B86" w14:textId="77777777" w:rsidR="00BC203A" w:rsidRDefault="00000000">
      <w:pPr>
        <w:spacing w:after="120"/>
        <w:ind w:left="720" w:hanging="720"/>
      </w:pPr>
      <w:r>
        <w:rPr>
          <w:sz w:val="22"/>
          <w:szCs w:val="22"/>
        </w:rPr>
        <w:t xml:space="preserve">Noble, S., Scheinost, D., Constable, R.T., 2019. A decade of test-retest reliability of functional connectivity: A systematic review and meta-analysis. </w:t>
      </w:r>
      <w:proofErr w:type="spellStart"/>
      <w:r>
        <w:rPr>
          <w:sz w:val="22"/>
          <w:szCs w:val="22"/>
        </w:rPr>
        <w:t>NeuroImage</w:t>
      </w:r>
      <w:proofErr w:type="spellEnd"/>
      <w:r>
        <w:rPr>
          <w:sz w:val="22"/>
          <w:szCs w:val="22"/>
        </w:rPr>
        <w:t xml:space="preserve"> 203, 116157. https://doi.org/10.1016/j.neuroimage.2019.116157</w:t>
      </w:r>
    </w:p>
    <w:p w14:paraId="1ADF64FC" w14:textId="77777777" w:rsidR="00BC203A" w:rsidRDefault="00000000">
      <w:pPr>
        <w:spacing w:after="120"/>
        <w:ind w:left="720" w:hanging="720"/>
      </w:pPr>
      <w:proofErr w:type="spellStart"/>
      <w:r>
        <w:rPr>
          <w:sz w:val="22"/>
          <w:szCs w:val="22"/>
        </w:rPr>
        <w:t>Onnela</w:t>
      </w:r>
      <w:proofErr w:type="spellEnd"/>
      <w:r>
        <w:rPr>
          <w:sz w:val="22"/>
          <w:szCs w:val="22"/>
        </w:rPr>
        <w:t xml:space="preserve">, J.P., </w:t>
      </w:r>
      <w:proofErr w:type="spellStart"/>
      <w:r>
        <w:rPr>
          <w:sz w:val="22"/>
          <w:szCs w:val="22"/>
        </w:rPr>
        <w:t>Saramaki</w:t>
      </w:r>
      <w:proofErr w:type="spellEnd"/>
      <w:r>
        <w:rPr>
          <w:sz w:val="22"/>
          <w:szCs w:val="22"/>
        </w:rPr>
        <w:t>, J., Kertesz, J., Kaski, K., 2005. Intensity and coherence of motifs in weighted complex networks. Physical Review E 71, 065103. https://doi.org/10.1103/PhysRevE.71.065103</w:t>
      </w:r>
    </w:p>
    <w:p w14:paraId="0731DEF5" w14:textId="77777777" w:rsidR="00BC203A" w:rsidRDefault="00000000">
      <w:pPr>
        <w:spacing w:after="120"/>
        <w:ind w:left="720" w:hanging="720"/>
      </w:pPr>
      <w:r>
        <w:rPr>
          <w:sz w:val="22"/>
          <w:szCs w:val="22"/>
        </w:rPr>
        <w:t xml:space="preserve">Petri, G., Expert, P., </w:t>
      </w:r>
      <w:proofErr w:type="spellStart"/>
      <w:r>
        <w:rPr>
          <w:sz w:val="22"/>
          <w:szCs w:val="22"/>
        </w:rPr>
        <w:t>Turkheimer</w:t>
      </w:r>
      <w:proofErr w:type="spellEnd"/>
      <w:r>
        <w:rPr>
          <w:sz w:val="22"/>
          <w:szCs w:val="22"/>
        </w:rPr>
        <w:t>, F., Carhart-Harris, R., Nutt, D., Hellyer, P.J., Vaccarino, F., 2014. Homological scaffolds of brain functional networks. Journal of the Royal Society Interface 11, 20140873. https://doi.org/10.1098/rsif.2014.0873</w:t>
      </w:r>
    </w:p>
    <w:p w14:paraId="1F431474" w14:textId="77777777" w:rsidR="00BC203A" w:rsidRDefault="00000000">
      <w:pPr>
        <w:spacing w:after="120"/>
        <w:ind w:left="720" w:hanging="720"/>
      </w:pPr>
      <w:r>
        <w:rPr>
          <w:sz w:val="22"/>
          <w:szCs w:val="22"/>
        </w:rPr>
        <w:t xml:space="preserve">Power, J.D., Cohen, A.L., Nelson, S.M., Wig, G.S., Barnes, K.A., Church, J.A., Vogel, A.C., Laumann, T.O., Miezin, F.M., </w:t>
      </w:r>
      <w:proofErr w:type="spellStart"/>
      <w:r>
        <w:rPr>
          <w:sz w:val="22"/>
          <w:szCs w:val="22"/>
        </w:rPr>
        <w:t>Schlaggar</w:t>
      </w:r>
      <w:proofErr w:type="spellEnd"/>
      <w:r>
        <w:rPr>
          <w:sz w:val="22"/>
          <w:szCs w:val="22"/>
        </w:rPr>
        <w:t>, B.L., Petersen, S.E., 2011. Functional network organization of the human brain. Neuron 72, 665-678. https://doi.org/10.1016/j.neuron.2011.09.006</w:t>
      </w:r>
    </w:p>
    <w:p w14:paraId="6B746980" w14:textId="77777777" w:rsidR="00BC203A" w:rsidRDefault="00000000">
      <w:pPr>
        <w:spacing w:after="120"/>
        <w:ind w:left="720" w:hanging="720"/>
      </w:pPr>
      <w:r>
        <w:rPr>
          <w:sz w:val="22"/>
          <w:szCs w:val="22"/>
        </w:rPr>
        <w:lastRenderedPageBreak/>
        <w:t xml:space="preserve">Power, J.D., </w:t>
      </w:r>
      <w:proofErr w:type="spellStart"/>
      <w:r>
        <w:rPr>
          <w:sz w:val="22"/>
          <w:szCs w:val="22"/>
        </w:rPr>
        <w:t>Schlaggar</w:t>
      </w:r>
      <w:proofErr w:type="spellEnd"/>
      <w:r>
        <w:rPr>
          <w:sz w:val="22"/>
          <w:szCs w:val="22"/>
        </w:rPr>
        <w:t>, B.L., Lessov-Schlaggar, C.N., Petersen, S.E., 2013. Evidence for hubs in human functional brain networks. Neuron 79, 798-813. https://doi.org/10.1016/j.neuron.2013.07.035</w:t>
      </w:r>
    </w:p>
    <w:p w14:paraId="6C0038A7" w14:textId="77777777" w:rsidR="00BC203A" w:rsidRDefault="00000000">
      <w:pPr>
        <w:spacing w:after="120"/>
        <w:ind w:left="720" w:hanging="720"/>
      </w:pPr>
      <w:r>
        <w:rPr>
          <w:sz w:val="22"/>
          <w:szCs w:val="22"/>
        </w:rPr>
        <w:t>R Core Team, 2024. R: A language and environment for statistical computing. R Foundation for Statistical Computing, Vienna. https://www.R-project.org/</w:t>
      </w:r>
    </w:p>
    <w:p w14:paraId="5F8A40E6" w14:textId="77777777" w:rsidR="00BC203A" w:rsidRDefault="00000000">
      <w:pPr>
        <w:spacing w:after="120"/>
        <w:ind w:left="720" w:hanging="720"/>
      </w:pPr>
      <w:r>
        <w:rPr>
          <w:sz w:val="22"/>
          <w:szCs w:val="22"/>
        </w:rPr>
        <w:t>Revelle, W., 2024. psych: Procedures for Psychological, Psychometric, and Personality Research. R package version 2.4.1. https://CRAN.R-project.org/package=psych</w:t>
      </w:r>
    </w:p>
    <w:p w14:paraId="55E8967D" w14:textId="77777777" w:rsidR="00BC203A" w:rsidRDefault="00000000">
      <w:pPr>
        <w:spacing w:after="120"/>
        <w:ind w:left="720" w:hanging="720"/>
      </w:pPr>
      <w:r>
        <w:rPr>
          <w:sz w:val="22"/>
          <w:szCs w:val="22"/>
        </w:rPr>
        <w:t xml:space="preserve">Rubinov, M., </w:t>
      </w:r>
      <w:proofErr w:type="spellStart"/>
      <w:r>
        <w:rPr>
          <w:sz w:val="22"/>
          <w:szCs w:val="22"/>
        </w:rPr>
        <w:t>Sporns</w:t>
      </w:r>
      <w:proofErr w:type="spellEnd"/>
      <w:r>
        <w:rPr>
          <w:sz w:val="22"/>
          <w:szCs w:val="22"/>
        </w:rPr>
        <w:t xml:space="preserve">, O., 2010. Complex network measures of brain connectivity: Uses and interpretations. </w:t>
      </w:r>
      <w:proofErr w:type="spellStart"/>
      <w:r>
        <w:rPr>
          <w:sz w:val="22"/>
          <w:szCs w:val="22"/>
        </w:rPr>
        <w:t>NeuroImage</w:t>
      </w:r>
      <w:proofErr w:type="spellEnd"/>
      <w:r>
        <w:rPr>
          <w:sz w:val="22"/>
          <w:szCs w:val="22"/>
        </w:rPr>
        <w:t xml:space="preserve"> 52, 1059-1069. https://doi.org/10.1016/j.neuroimage.2009.10.003</w:t>
      </w:r>
    </w:p>
    <w:p w14:paraId="56E21891" w14:textId="77777777" w:rsidR="00BC203A" w:rsidRDefault="00000000">
      <w:pPr>
        <w:spacing w:after="120"/>
        <w:ind w:left="720" w:hanging="720"/>
      </w:pPr>
      <w:r>
        <w:rPr>
          <w:sz w:val="22"/>
          <w:szCs w:val="22"/>
        </w:rPr>
        <w:t xml:space="preserve">Rubinov, M., </w:t>
      </w:r>
      <w:proofErr w:type="spellStart"/>
      <w:r>
        <w:rPr>
          <w:sz w:val="22"/>
          <w:szCs w:val="22"/>
        </w:rPr>
        <w:t>Sporns</w:t>
      </w:r>
      <w:proofErr w:type="spellEnd"/>
      <w:r>
        <w:rPr>
          <w:sz w:val="22"/>
          <w:szCs w:val="22"/>
        </w:rPr>
        <w:t xml:space="preserve">, O., 2011. Weight-conserving characterization of complex functional brain networks. </w:t>
      </w:r>
      <w:proofErr w:type="spellStart"/>
      <w:r>
        <w:rPr>
          <w:sz w:val="22"/>
          <w:szCs w:val="22"/>
        </w:rPr>
        <w:t>NeuroImage</w:t>
      </w:r>
      <w:proofErr w:type="spellEnd"/>
      <w:r>
        <w:rPr>
          <w:sz w:val="22"/>
          <w:szCs w:val="22"/>
        </w:rPr>
        <w:t xml:space="preserve"> 56, 2068-2079. https://doi.org/10.1016/j.neuroimage.2011.03.069</w:t>
      </w:r>
    </w:p>
    <w:p w14:paraId="3AD566BE" w14:textId="77777777" w:rsidR="00BC203A" w:rsidRDefault="00000000">
      <w:pPr>
        <w:spacing w:after="120"/>
        <w:ind w:left="720" w:hanging="720"/>
      </w:pPr>
      <w:r>
        <w:rPr>
          <w:sz w:val="22"/>
          <w:szCs w:val="22"/>
        </w:rPr>
        <w:t>Rubin, D.B., 1987. Multiple Imputation for Nonresponse in Surveys. John Wiley &amp; Sons, New York.</w:t>
      </w:r>
    </w:p>
    <w:p w14:paraId="27D3485D" w14:textId="77777777" w:rsidR="00BC203A" w:rsidRDefault="00000000">
      <w:pPr>
        <w:spacing w:after="120"/>
        <w:ind w:left="720" w:hanging="720"/>
      </w:pPr>
      <w:r>
        <w:rPr>
          <w:sz w:val="22"/>
          <w:szCs w:val="22"/>
        </w:rPr>
        <w:t>Schafer, J., Strimmer, K., 2005. A shrinkage approach to large-scale covariance matrix estimation and implications for functional genomics. Statistical Applications in Genetics and Molecular Biology 4, Article 32. https://doi.org/10.2202/1544-6115.1175</w:t>
      </w:r>
    </w:p>
    <w:p w14:paraId="6F8BDA3E" w14:textId="77777777" w:rsidR="00BC203A" w:rsidRDefault="00000000">
      <w:pPr>
        <w:spacing w:after="120"/>
        <w:ind w:left="720" w:hanging="720"/>
      </w:pPr>
      <w:r>
        <w:rPr>
          <w:sz w:val="22"/>
          <w:szCs w:val="22"/>
        </w:rPr>
        <w:t xml:space="preserve">Schafer, J., </w:t>
      </w:r>
      <w:proofErr w:type="spellStart"/>
      <w:r>
        <w:rPr>
          <w:sz w:val="22"/>
          <w:szCs w:val="22"/>
        </w:rPr>
        <w:t>Opgen</w:t>
      </w:r>
      <w:proofErr w:type="spellEnd"/>
      <w:r>
        <w:rPr>
          <w:sz w:val="22"/>
          <w:szCs w:val="22"/>
        </w:rPr>
        <w:t xml:space="preserve">-Rhein, R., Zuber, V., Ahdesmaki, M., Silva, A.P.D., Strimmer, K., 2021. </w:t>
      </w:r>
      <w:proofErr w:type="spellStart"/>
      <w:r>
        <w:rPr>
          <w:sz w:val="22"/>
          <w:szCs w:val="22"/>
        </w:rPr>
        <w:t>corpcor</w:t>
      </w:r>
      <w:proofErr w:type="spellEnd"/>
      <w:r>
        <w:rPr>
          <w:sz w:val="22"/>
          <w:szCs w:val="22"/>
        </w:rPr>
        <w:t>: Efficient Estimation of Covariance and (Partial) Correlation. R package version 1.6.10. https://CRAN.R-project.org/package=corpcor</w:t>
      </w:r>
    </w:p>
    <w:p w14:paraId="63408125" w14:textId="77777777" w:rsidR="00BC203A" w:rsidRDefault="00000000">
      <w:pPr>
        <w:spacing w:after="120"/>
        <w:ind w:left="720" w:hanging="720"/>
      </w:pPr>
      <w:r>
        <w:rPr>
          <w:sz w:val="22"/>
          <w:szCs w:val="22"/>
        </w:rPr>
        <w:t xml:space="preserve">Scheinost, D., Noble, S., Horat, C., Yip, A.M., Finn, E.S., Constable, R.T., 2016. A decade of test-retest reliability of functional connectivity: A systematic review and meta-analysis. </w:t>
      </w:r>
      <w:proofErr w:type="spellStart"/>
      <w:r>
        <w:rPr>
          <w:sz w:val="22"/>
          <w:szCs w:val="22"/>
        </w:rPr>
        <w:t>NeuroImage</w:t>
      </w:r>
      <w:proofErr w:type="spellEnd"/>
      <w:r>
        <w:rPr>
          <w:sz w:val="22"/>
          <w:szCs w:val="22"/>
        </w:rPr>
        <w:t xml:space="preserve"> 138, 60-75. https://doi.org/10.1016/j.neuroimage.2016.05.070</w:t>
      </w:r>
    </w:p>
    <w:p w14:paraId="3CA755C3" w14:textId="77777777" w:rsidR="00BC203A" w:rsidRDefault="00000000">
      <w:pPr>
        <w:spacing w:after="120"/>
        <w:ind w:left="720" w:hanging="720"/>
      </w:pPr>
      <w:r>
        <w:rPr>
          <w:sz w:val="22"/>
          <w:szCs w:val="22"/>
        </w:rPr>
        <w:t xml:space="preserve">Smith, S.M., Miller, K.L., Salimi-Khorshidi, G., Webster, M., Beckmann, C.F., Nichols, T.E., Ramsey, J.D., Woolrich, M.W., 2011. Network modelling methods for FMRI. </w:t>
      </w:r>
      <w:proofErr w:type="spellStart"/>
      <w:r>
        <w:rPr>
          <w:sz w:val="22"/>
          <w:szCs w:val="22"/>
        </w:rPr>
        <w:t>NeuroImage</w:t>
      </w:r>
      <w:proofErr w:type="spellEnd"/>
      <w:r>
        <w:rPr>
          <w:sz w:val="22"/>
          <w:szCs w:val="22"/>
        </w:rPr>
        <w:t xml:space="preserve"> 54, 875-891. https://doi.org/10.1016/j.neuroimage.2010.08.063</w:t>
      </w:r>
    </w:p>
    <w:p w14:paraId="7A91F433" w14:textId="77777777" w:rsidR="00BC203A" w:rsidRDefault="00000000">
      <w:pPr>
        <w:spacing w:after="120"/>
        <w:ind w:left="720" w:hanging="720"/>
      </w:pPr>
      <w:proofErr w:type="spellStart"/>
      <w:r>
        <w:rPr>
          <w:sz w:val="22"/>
          <w:szCs w:val="22"/>
        </w:rPr>
        <w:t>Sporns</w:t>
      </w:r>
      <w:proofErr w:type="spellEnd"/>
      <w:r>
        <w:rPr>
          <w:sz w:val="22"/>
          <w:szCs w:val="22"/>
        </w:rPr>
        <w:t>, O., 2011. Networks of the Brain. MIT Press, Cambridge.</w:t>
      </w:r>
    </w:p>
    <w:p w14:paraId="4C524AFA" w14:textId="77777777" w:rsidR="00BC203A" w:rsidRDefault="00000000">
      <w:pPr>
        <w:spacing w:after="120"/>
        <w:ind w:left="720" w:hanging="720"/>
      </w:pPr>
      <w:r>
        <w:rPr>
          <w:sz w:val="22"/>
          <w:szCs w:val="22"/>
        </w:rPr>
        <w:t>Strehl, A., Ghosh, J., 2002. Cluster ensembles - A knowledge reuse framework for combining multiple partitions. Journal of Machine Learning Research 3, 583-617.</w:t>
      </w:r>
    </w:p>
    <w:p w14:paraId="0C133BCE" w14:textId="77777777" w:rsidR="00BC203A" w:rsidRDefault="00000000">
      <w:pPr>
        <w:spacing w:after="120"/>
        <w:ind w:left="720" w:hanging="720"/>
      </w:pPr>
      <w:r>
        <w:rPr>
          <w:sz w:val="22"/>
          <w:szCs w:val="22"/>
        </w:rPr>
        <w:t>van Buuren, S., Groothuis-</w:t>
      </w:r>
      <w:proofErr w:type="spellStart"/>
      <w:r>
        <w:rPr>
          <w:sz w:val="22"/>
          <w:szCs w:val="22"/>
        </w:rPr>
        <w:t>Oudshoorn</w:t>
      </w:r>
      <w:proofErr w:type="spellEnd"/>
      <w:r>
        <w:rPr>
          <w:sz w:val="22"/>
          <w:szCs w:val="22"/>
        </w:rPr>
        <w:t>, K., 2011. mice: Multivariate imputation by chained equations in R. Journal of Statistical Software 45, 1-67. https://doi.org/10.18637/jss.v045.i03</w:t>
      </w:r>
    </w:p>
    <w:p w14:paraId="58E9FF4A" w14:textId="77777777" w:rsidR="00BC203A" w:rsidRDefault="00000000">
      <w:pPr>
        <w:spacing w:after="120"/>
        <w:ind w:left="720" w:hanging="720"/>
      </w:pPr>
      <w:r>
        <w:rPr>
          <w:sz w:val="22"/>
          <w:szCs w:val="22"/>
        </w:rPr>
        <w:t xml:space="preserve">van den Heuvel, M.P., de Lange, S.C., Zalesky, A., Seguin, C., Yeo, B.T., Schmidt, R., 2017. Proportional thresholding in resting-state fMRI functional connectivity networks and consequences for patient-control connectome studies. </w:t>
      </w:r>
      <w:proofErr w:type="spellStart"/>
      <w:r>
        <w:rPr>
          <w:sz w:val="22"/>
          <w:szCs w:val="22"/>
        </w:rPr>
        <w:t>NeuroImage</w:t>
      </w:r>
      <w:proofErr w:type="spellEnd"/>
      <w:r>
        <w:rPr>
          <w:sz w:val="22"/>
          <w:szCs w:val="22"/>
        </w:rPr>
        <w:t>: Clinical 15, 310-320. https://doi.org/10.1016/j.nicl.2017.05.011</w:t>
      </w:r>
    </w:p>
    <w:p w14:paraId="23F38F3A" w14:textId="77777777" w:rsidR="00BC203A" w:rsidRDefault="00000000">
      <w:pPr>
        <w:spacing w:after="120"/>
        <w:ind w:left="720" w:hanging="720"/>
      </w:pPr>
      <w:r>
        <w:rPr>
          <w:sz w:val="22"/>
          <w:szCs w:val="22"/>
        </w:rPr>
        <w:t xml:space="preserve">van den Heuvel, M.P., </w:t>
      </w:r>
      <w:proofErr w:type="spellStart"/>
      <w:r>
        <w:rPr>
          <w:sz w:val="22"/>
          <w:szCs w:val="22"/>
        </w:rPr>
        <w:t>Sporns</w:t>
      </w:r>
      <w:proofErr w:type="spellEnd"/>
      <w:r>
        <w:rPr>
          <w:sz w:val="22"/>
          <w:szCs w:val="22"/>
        </w:rPr>
        <w:t>, O., 2013. Network hubs in the human brain. Trends in Cognitive Sciences 17, 683-696. https://doi.org/10.1016/j.tics.2013.09.012</w:t>
      </w:r>
    </w:p>
    <w:p w14:paraId="51CA79A3" w14:textId="77777777" w:rsidR="00BC203A" w:rsidRDefault="00000000">
      <w:pPr>
        <w:spacing w:after="120"/>
        <w:ind w:left="720" w:hanging="720"/>
      </w:pPr>
      <w:r>
        <w:rPr>
          <w:sz w:val="22"/>
          <w:szCs w:val="22"/>
        </w:rPr>
        <w:t xml:space="preserve">van Wijk, B.C., Stam, C.J., </w:t>
      </w:r>
      <w:proofErr w:type="spellStart"/>
      <w:r>
        <w:rPr>
          <w:sz w:val="22"/>
          <w:szCs w:val="22"/>
        </w:rPr>
        <w:t>Daffertshofer</w:t>
      </w:r>
      <w:proofErr w:type="spellEnd"/>
      <w:r>
        <w:rPr>
          <w:sz w:val="22"/>
          <w:szCs w:val="22"/>
        </w:rPr>
        <w:t xml:space="preserve">, A., 2010. Comparing brain networks of different size and connectivity density using graph theory. </w:t>
      </w:r>
      <w:proofErr w:type="spellStart"/>
      <w:r>
        <w:rPr>
          <w:sz w:val="22"/>
          <w:szCs w:val="22"/>
        </w:rPr>
        <w:t>PLoS</w:t>
      </w:r>
      <w:proofErr w:type="spellEnd"/>
      <w:r>
        <w:rPr>
          <w:sz w:val="22"/>
          <w:szCs w:val="22"/>
        </w:rPr>
        <w:t xml:space="preserve"> ONE 5, e13701. https://doi.org/10.1371/journal.pone.0013701</w:t>
      </w:r>
    </w:p>
    <w:p w14:paraId="5FA94CB0" w14:textId="77777777" w:rsidR="00BC203A" w:rsidRDefault="00000000">
      <w:pPr>
        <w:spacing w:after="120"/>
        <w:ind w:left="720" w:hanging="720"/>
      </w:pPr>
      <w:proofErr w:type="spellStart"/>
      <w:r>
        <w:rPr>
          <w:sz w:val="22"/>
          <w:szCs w:val="22"/>
        </w:rPr>
        <w:t>Varoquaux</w:t>
      </w:r>
      <w:proofErr w:type="spellEnd"/>
      <w:r>
        <w:rPr>
          <w:sz w:val="22"/>
          <w:szCs w:val="22"/>
        </w:rPr>
        <w:t xml:space="preserve">, G., Craddock, R.C., 2013. Learning and comparing functional connectomes across subjects. </w:t>
      </w:r>
      <w:proofErr w:type="spellStart"/>
      <w:r>
        <w:rPr>
          <w:sz w:val="22"/>
          <w:szCs w:val="22"/>
        </w:rPr>
        <w:t>NeuroImage</w:t>
      </w:r>
      <w:proofErr w:type="spellEnd"/>
      <w:r>
        <w:rPr>
          <w:sz w:val="22"/>
          <w:szCs w:val="22"/>
        </w:rPr>
        <w:t xml:space="preserve"> 80, 405-415. https://doi.org/10.1016/j.neuroimage.2013.04.007</w:t>
      </w:r>
    </w:p>
    <w:p w14:paraId="7CEFDA0B" w14:textId="77777777" w:rsidR="00BC203A" w:rsidRDefault="00000000">
      <w:pPr>
        <w:spacing w:after="120"/>
        <w:ind w:left="720" w:hanging="720"/>
      </w:pPr>
      <w:r>
        <w:rPr>
          <w:sz w:val="22"/>
          <w:szCs w:val="22"/>
        </w:rPr>
        <w:t xml:space="preserve">Watts, D.J., </w:t>
      </w:r>
      <w:proofErr w:type="spellStart"/>
      <w:r>
        <w:rPr>
          <w:sz w:val="22"/>
          <w:szCs w:val="22"/>
        </w:rPr>
        <w:t>Strogatz</w:t>
      </w:r>
      <w:proofErr w:type="spellEnd"/>
      <w:r>
        <w:rPr>
          <w:sz w:val="22"/>
          <w:szCs w:val="22"/>
        </w:rPr>
        <w:t>, S.H., 1998. Collective dynamics of 'small-world' networks. Nature 393, 440-443. https://doi.org/10.1038/30918</w:t>
      </w:r>
    </w:p>
    <w:p w14:paraId="188CDD99" w14:textId="77777777" w:rsidR="00BC203A" w:rsidRDefault="00000000">
      <w:pPr>
        <w:spacing w:after="120"/>
        <w:ind w:left="720" w:hanging="720"/>
      </w:pPr>
      <w:r>
        <w:rPr>
          <w:sz w:val="22"/>
          <w:szCs w:val="22"/>
        </w:rPr>
        <w:lastRenderedPageBreak/>
        <w:t xml:space="preserve">Wei, T., Simko, V., 2021. </w:t>
      </w:r>
      <w:proofErr w:type="spellStart"/>
      <w:r>
        <w:rPr>
          <w:sz w:val="22"/>
          <w:szCs w:val="22"/>
        </w:rPr>
        <w:t>corrplot</w:t>
      </w:r>
      <w:proofErr w:type="spellEnd"/>
      <w:r>
        <w:rPr>
          <w:sz w:val="22"/>
          <w:szCs w:val="22"/>
        </w:rPr>
        <w:t>: Visualization of a Correlation Matrix. R package version 0.92. https://CRAN.R-project.org/package=corrplot</w:t>
      </w:r>
    </w:p>
    <w:p w14:paraId="6F1DE4F6" w14:textId="77777777" w:rsidR="00BC203A" w:rsidRDefault="00000000">
      <w:pPr>
        <w:spacing w:after="120"/>
        <w:ind w:left="720" w:hanging="720"/>
      </w:pPr>
      <w:r>
        <w:rPr>
          <w:sz w:val="22"/>
          <w:szCs w:val="22"/>
        </w:rPr>
        <w:t>Whitfield-Gabrieli, S., Nieto-Castanon, A., 2012. Conn: A functional connectivity toolbox for correlated and anticorrelated brain networks. Brain Connectivity 2, 125-141. https://doi.org/10.1089/brain.2012.0073</w:t>
      </w:r>
    </w:p>
    <w:p w14:paraId="68E59BEA" w14:textId="77777777" w:rsidR="00BC203A" w:rsidRDefault="00000000">
      <w:pPr>
        <w:spacing w:after="120"/>
        <w:ind w:left="720" w:hanging="720"/>
      </w:pPr>
      <w:r>
        <w:rPr>
          <w:sz w:val="22"/>
          <w:szCs w:val="22"/>
        </w:rPr>
        <w:t>Wickham, H., 2016. ggplot2: Elegant Graphics for Data Analysis. Springer, New York. https://doi.org/10.1007/978-3-319-24277-4</w:t>
      </w:r>
    </w:p>
    <w:p w14:paraId="4B9B453C" w14:textId="77777777" w:rsidR="00BC203A" w:rsidRDefault="00000000">
      <w:pPr>
        <w:spacing w:after="120"/>
        <w:ind w:left="720" w:hanging="720"/>
      </w:pPr>
      <w:r>
        <w:rPr>
          <w:sz w:val="22"/>
          <w:szCs w:val="22"/>
        </w:rPr>
        <w:t>Wilcox, R.R., 1994. The percentage bend correlation coefficient. Psychometrika 59, 601-616. https://doi.org/10.1007/BF02294395</w:t>
      </w:r>
    </w:p>
    <w:p w14:paraId="1EBBF7D9" w14:textId="77777777" w:rsidR="00BC203A" w:rsidRDefault="00000000">
      <w:pPr>
        <w:spacing w:after="120"/>
        <w:ind w:left="720" w:hanging="720"/>
      </w:pPr>
      <w:r>
        <w:rPr>
          <w:sz w:val="22"/>
          <w:szCs w:val="22"/>
        </w:rPr>
        <w:t>Wilcox, R.R., 2012. Introduction to Robust Estimation and Hypothesis Testing, 3rd ed. Academic Press, San Diego.</w:t>
      </w:r>
    </w:p>
    <w:p w14:paraId="2C200CA3" w14:textId="77777777" w:rsidR="00BC203A" w:rsidRDefault="00000000">
      <w:pPr>
        <w:spacing w:after="120"/>
        <w:ind w:left="720" w:hanging="720"/>
      </w:pPr>
      <w:r>
        <w:rPr>
          <w:sz w:val="22"/>
          <w:szCs w:val="22"/>
        </w:rPr>
        <w:t xml:space="preserve">Zalesky, A., </w:t>
      </w:r>
      <w:proofErr w:type="spellStart"/>
      <w:r>
        <w:rPr>
          <w:sz w:val="22"/>
          <w:szCs w:val="22"/>
        </w:rPr>
        <w:t>Fornito</w:t>
      </w:r>
      <w:proofErr w:type="spellEnd"/>
      <w:r>
        <w:rPr>
          <w:sz w:val="22"/>
          <w:szCs w:val="22"/>
        </w:rPr>
        <w:t xml:space="preserve">, A., Bullmore, E.T., 2010. Network-based statistic: identifying differences in brain networks. </w:t>
      </w:r>
      <w:proofErr w:type="spellStart"/>
      <w:r>
        <w:rPr>
          <w:sz w:val="22"/>
          <w:szCs w:val="22"/>
        </w:rPr>
        <w:t>NeuroImage</w:t>
      </w:r>
      <w:proofErr w:type="spellEnd"/>
      <w:r>
        <w:rPr>
          <w:sz w:val="22"/>
          <w:szCs w:val="22"/>
        </w:rPr>
        <w:t xml:space="preserve"> 53, 1197-1207. https://doi.org/10.1016/j.neuroimage.2010.06.041</w:t>
      </w:r>
    </w:p>
    <w:p w14:paraId="649183A8" w14:textId="77777777" w:rsidR="00BC203A" w:rsidRDefault="00000000">
      <w:pPr>
        <w:spacing w:after="120"/>
        <w:ind w:left="720" w:hanging="720"/>
      </w:pPr>
      <w:r>
        <w:rPr>
          <w:sz w:val="22"/>
          <w:szCs w:val="22"/>
        </w:rPr>
        <w:t xml:space="preserve">Zalesky, A., </w:t>
      </w:r>
      <w:proofErr w:type="spellStart"/>
      <w:r>
        <w:rPr>
          <w:sz w:val="22"/>
          <w:szCs w:val="22"/>
        </w:rPr>
        <w:t>Fornito</w:t>
      </w:r>
      <w:proofErr w:type="spellEnd"/>
      <w:r>
        <w:rPr>
          <w:sz w:val="22"/>
          <w:szCs w:val="22"/>
        </w:rPr>
        <w:t>, A., Cocchi, L., Gollo, L.L., Breakspear, M., 2014. Time-resolved resting-state brain networks. Proceedings of the National Academy of Sciences 111, 10341-10346. https://doi.org/10.1073/pnas.1400181111</w:t>
      </w:r>
    </w:p>
    <w:p w14:paraId="3D74B7F2" w14:textId="77777777" w:rsidR="00BC203A" w:rsidRDefault="00000000">
      <w:pPr>
        <w:spacing w:after="120"/>
        <w:ind w:left="720" w:hanging="720"/>
      </w:pPr>
      <w:r>
        <w:rPr>
          <w:sz w:val="22"/>
          <w:szCs w:val="22"/>
        </w:rPr>
        <w:t xml:space="preserve">Zuo, X.N., Xing, X.X., 2014. Test-retest reliabilities of resting-state FMRI measurements in human brain functional </w:t>
      </w:r>
      <w:proofErr w:type="spellStart"/>
      <w:r>
        <w:rPr>
          <w:sz w:val="22"/>
          <w:szCs w:val="22"/>
        </w:rPr>
        <w:t>connectomics</w:t>
      </w:r>
      <w:proofErr w:type="spellEnd"/>
      <w:r>
        <w:rPr>
          <w:sz w:val="22"/>
          <w:szCs w:val="22"/>
        </w:rPr>
        <w:t xml:space="preserve">: A systems neuroscience perspective. Neuroscience &amp; </w:t>
      </w:r>
      <w:proofErr w:type="spellStart"/>
      <w:r>
        <w:rPr>
          <w:sz w:val="22"/>
          <w:szCs w:val="22"/>
        </w:rPr>
        <w:t>Biobehavioral</w:t>
      </w:r>
      <w:proofErr w:type="spellEnd"/>
      <w:r>
        <w:rPr>
          <w:sz w:val="22"/>
          <w:szCs w:val="22"/>
        </w:rPr>
        <w:t xml:space="preserve"> Reviews 45, 100-118. https://doi.org/10.1016/j.neubiorev.2014.05.009</w:t>
      </w:r>
    </w:p>
    <w:p w14:paraId="41C198AE" w14:textId="77777777" w:rsidR="00BC203A" w:rsidRDefault="00000000">
      <w:r>
        <w:br w:type="page"/>
      </w:r>
    </w:p>
    <w:p w14:paraId="3B0B15EA" w14:textId="77777777" w:rsidR="00BC203A" w:rsidRDefault="00000000">
      <w:pPr>
        <w:pStyle w:val="Heading1"/>
      </w:pPr>
      <w:r>
        <w:lastRenderedPageBreak/>
        <w:t>FIGURES</w:t>
      </w:r>
    </w:p>
    <w:p w14:paraId="33548F85" w14:textId="77777777" w:rsidR="00BC203A" w:rsidRDefault="00000000">
      <w:pPr>
        <w:spacing w:before="200" w:after="100"/>
      </w:pPr>
      <w:r>
        <w:rPr>
          <w:b/>
          <w:bCs/>
        </w:rPr>
        <w:t xml:space="preserve">Figure 1: </w:t>
      </w:r>
      <w:proofErr w:type="spellStart"/>
      <w:r>
        <w:rPr>
          <w:b/>
          <w:bCs/>
        </w:rPr>
        <w:t>ConsensusConnectR</w:t>
      </w:r>
      <w:proofErr w:type="spellEnd"/>
      <w:r>
        <w:rPr>
          <w:b/>
          <w:bCs/>
        </w:rPr>
        <w:t xml:space="preserve"> workflow schematic</w:t>
      </w:r>
    </w:p>
    <w:p w14:paraId="4E12AF2B" w14:textId="77777777" w:rsidR="00BC203A" w:rsidRDefault="00000000">
      <w:pPr>
        <w:spacing w:after="200" w:line="480" w:lineRule="auto"/>
        <w:jc w:val="both"/>
      </w:pPr>
      <w:r>
        <w:t>Overview of the analysis pipeline from data input through consensus synthesis. Illustrates the five correlation methods, three analytical approaches, and consensus integration framework.</w:t>
      </w:r>
    </w:p>
    <w:p w14:paraId="3DD6D3E5" w14:textId="77777777" w:rsidR="00BC203A" w:rsidRDefault="00000000">
      <w:pPr>
        <w:spacing w:before="200" w:after="100"/>
      </w:pPr>
      <w:r>
        <w:rPr>
          <w:b/>
          <w:bCs/>
        </w:rPr>
        <w:t>Figure 2: User interface</w:t>
      </w:r>
    </w:p>
    <w:p w14:paraId="758BD8C5" w14:textId="77777777" w:rsidR="00BC203A" w:rsidRDefault="00000000">
      <w:pPr>
        <w:spacing w:after="200" w:line="480" w:lineRule="auto"/>
        <w:jc w:val="both"/>
      </w:pPr>
      <w:r>
        <w:t>Screenshots of key interface components: (A) Data import and mapping, (B) Anatomical region assignment, (C) Analysis settings, (D) Results dashboard with network visualization.</w:t>
      </w:r>
    </w:p>
    <w:p w14:paraId="110802F1" w14:textId="77777777" w:rsidR="00BC203A" w:rsidRDefault="00000000">
      <w:pPr>
        <w:spacing w:before="200" w:after="100"/>
      </w:pPr>
      <w:r>
        <w:rPr>
          <w:b/>
          <w:bCs/>
        </w:rPr>
        <w:t>Figure 3: Correlation method comparison</w:t>
      </w:r>
    </w:p>
    <w:p w14:paraId="7B659750" w14:textId="77777777" w:rsidR="00BC203A" w:rsidRDefault="00000000">
      <w:pPr>
        <w:spacing w:after="200" w:line="480" w:lineRule="auto"/>
        <w:jc w:val="both"/>
      </w:pPr>
      <w:r>
        <w:t xml:space="preserve">Correlation heatmaps for representative dataset showing (A) Pearson, (B) Spearman, (C) </w:t>
      </w:r>
      <w:proofErr w:type="spellStart"/>
      <w:r>
        <w:t>Biweight</w:t>
      </w:r>
      <w:proofErr w:type="spellEnd"/>
      <w:r>
        <w:t>, (D) Shrinkage, and (E) Partial correlation matrices. Demonstrates convergence and divergence across methods.</w:t>
      </w:r>
    </w:p>
    <w:p w14:paraId="036AC802" w14:textId="77777777" w:rsidR="00BC203A" w:rsidRDefault="00000000">
      <w:pPr>
        <w:spacing w:before="200" w:after="100"/>
      </w:pPr>
      <w:r>
        <w:rPr>
          <w:b/>
          <w:bCs/>
        </w:rPr>
        <w:t>Figure 4: Analytical approach comparison</w:t>
      </w:r>
    </w:p>
    <w:p w14:paraId="3287B697" w14:textId="77777777" w:rsidR="00BC203A" w:rsidRDefault="00000000">
      <w:pPr>
        <w:spacing w:after="200" w:line="480" w:lineRule="auto"/>
        <w:jc w:val="both"/>
      </w:pPr>
      <w:r>
        <w:t>Network visualizations using (A) weighted analysis, (B) percolation-based thresholding showing percolation curve and network at optimal threshold, (C) persistence-based analysis showing AUC integration across thresholds.</w:t>
      </w:r>
    </w:p>
    <w:p w14:paraId="1B748BBC" w14:textId="77777777" w:rsidR="00BC203A" w:rsidRDefault="00000000">
      <w:pPr>
        <w:spacing w:before="200" w:after="100"/>
      </w:pPr>
      <w:r>
        <w:rPr>
          <w:b/>
          <w:bCs/>
        </w:rPr>
        <w:t>Figure 5: Consensus results</w:t>
      </w:r>
    </w:p>
    <w:p w14:paraId="61216CB5" w14:textId="77777777" w:rsidR="00BC203A" w:rsidRDefault="00000000">
      <w:pPr>
        <w:spacing w:after="200" w:line="480" w:lineRule="auto"/>
        <w:jc w:val="both"/>
      </w:pPr>
      <w:r>
        <w:t xml:space="preserve">(A) Hub ranking by consensus score with confidence intervals. (B) Cross-method agreement visualization showing which methods identify each node as a hub. (C) Consensus network with nodes sized by consensus centrality and </w:t>
      </w:r>
      <w:proofErr w:type="spellStart"/>
      <w:r>
        <w:t>colored</w:t>
      </w:r>
      <w:proofErr w:type="spellEnd"/>
      <w:r>
        <w:t xml:space="preserve"> by anatomical region.</w:t>
      </w:r>
    </w:p>
    <w:p w14:paraId="5A544B8C" w14:textId="77777777" w:rsidR="00BC203A" w:rsidRDefault="00000000">
      <w:pPr>
        <w:spacing w:before="200" w:after="100"/>
      </w:pPr>
      <w:r>
        <w:rPr>
          <w:b/>
          <w:bCs/>
        </w:rPr>
        <w:t>Figure 6: Validation example</w:t>
      </w:r>
    </w:p>
    <w:p w14:paraId="6EE313FF" w14:textId="77777777" w:rsidR="00BC203A" w:rsidRDefault="00000000">
      <w:pPr>
        <w:spacing w:after="200" w:line="480" w:lineRule="auto"/>
        <w:jc w:val="both"/>
      </w:pPr>
      <w:r>
        <w:t xml:space="preserve">Application to published research (Lee et al., 2026): (A) Network topology differences across experimental groups, (B) Eigenvector centrality by brain region and group, (C) </w:t>
      </w:r>
      <w:proofErr w:type="spellStart"/>
      <w:r>
        <w:t>Behavior</w:t>
      </w:r>
      <w:proofErr w:type="spellEnd"/>
      <w:r>
        <w:t>-connectivity relationships.</w:t>
      </w:r>
    </w:p>
    <w:p w14:paraId="18830B2F" w14:textId="77777777" w:rsidR="00BC203A" w:rsidRDefault="00000000">
      <w:r>
        <w:lastRenderedPageBreak/>
        <w:br w:type="page"/>
      </w:r>
    </w:p>
    <w:p w14:paraId="7650D320" w14:textId="77777777" w:rsidR="00BC203A" w:rsidRDefault="00000000">
      <w:pPr>
        <w:pStyle w:val="Heading1"/>
      </w:pPr>
      <w:r>
        <w:lastRenderedPageBreak/>
        <w:t>TABLES</w:t>
      </w:r>
    </w:p>
    <w:p w14:paraId="15C076A7" w14:textId="77777777" w:rsidR="00BC203A" w:rsidRDefault="00000000">
      <w:pPr>
        <w:spacing w:after="200" w:line="480" w:lineRule="auto"/>
        <w:jc w:val="both"/>
      </w:pPr>
      <w:r>
        <w:t>Table 1: Software dependencies and functions</w:t>
      </w:r>
    </w:p>
    <w:p w14:paraId="13949A3F" w14:textId="77777777" w:rsidR="00BC203A" w:rsidRDefault="00000000">
      <w:pPr>
        <w:spacing w:after="200" w:line="480" w:lineRule="auto"/>
        <w:jc w:val="both"/>
      </w:pPr>
      <w:r>
        <w:t>Table 2: Correlation methods with statistical properties and use cases</w:t>
      </w:r>
    </w:p>
    <w:p w14:paraId="46EE117E" w14:textId="77777777" w:rsidR="00BC203A" w:rsidRDefault="00000000">
      <w:pPr>
        <w:spacing w:after="200" w:line="480" w:lineRule="auto"/>
        <w:jc w:val="both"/>
      </w:pPr>
      <w:r>
        <w:t>Table 3: Computational performance benchmarks</w:t>
      </w:r>
    </w:p>
    <w:p w14:paraId="3621E7DD" w14:textId="77777777" w:rsidR="00BC203A" w:rsidRDefault="00000000">
      <w:pPr>
        <w:pStyle w:val="Heading1"/>
      </w:pPr>
      <w:r>
        <w:t>SUPPLEMENTARY MATERIAL</w:t>
      </w:r>
    </w:p>
    <w:p w14:paraId="4DC8E200" w14:textId="77777777" w:rsidR="00BC203A" w:rsidRDefault="00000000">
      <w:pPr>
        <w:spacing w:after="200" w:line="480" w:lineRule="auto"/>
        <w:jc w:val="both"/>
      </w:pPr>
      <w:r>
        <w:t>Supplementary Methods: Detailed mathematical formulations for all network metrics and consensus computations.</w:t>
      </w:r>
    </w:p>
    <w:p w14:paraId="2E92F63D" w14:textId="77777777" w:rsidR="00BC203A" w:rsidRDefault="00000000">
      <w:pPr>
        <w:spacing w:after="200" w:line="480" w:lineRule="auto"/>
        <w:jc w:val="both"/>
      </w:pPr>
      <w:r>
        <w:t>Supplementary Figures: Additional visualizations including complete UI walkthrough and extended method comparison examples.</w:t>
      </w:r>
    </w:p>
    <w:p w14:paraId="56FD4CA3" w14:textId="77777777" w:rsidR="00BC203A" w:rsidRDefault="00000000">
      <w:pPr>
        <w:spacing w:after="200" w:line="480" w:lineRule="auto"/>
        <w:jc w:val="both"/>
      </w:pPr>
      <w:r>
        <w:t>Supplementary Tables: Complete parameter options with default values and recommendations.</w:t>
      </w:r>
    </w:p>
    <w:p w14:paraId="4E71F82F" w14:textId="77777777" w:rsidR="00BC203A" w:rsidRDefault="00000000">
      <w:pPr>
        <w:spacing w:after="200" w:line="480" w:lineRule="auto"/>
        <w:jc w:val="both"/>
      </w:pPr>
      <w:r>
        <w:t>User Guide: Step-by-step tutorial with annotated screenshots.</w:t>
      </w:r>
    </w:p>
    <w:sectPr w:rsidR="00BC20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65DB1"/>
    <w:multiLevelType w:val="hybridMultilevel"/>
    <w:tmpl w:val="5CD4B4DA"/>
    <w:lvl w:ilvl="0" w:tplc="BB4E265A">
      <w:start w:val="1"/>
      <w:numFmt w:val="bullet"/>
      <w:lvlText w:val="●"/>
      <w:lvlJc w:val="left"/>
      <w:pPr>
        <w:ind w:left="720" w:hanging="360"/>
      </w:pPr>
    </w:lvl>
    <w:lvl w:ilvl="1" w:tplc="CE261CFA">
      <w:start w:val="1"/>
      <w:numFmt w:val="bullet"/>
      <w:lvlText w:val="○"/>
      <w:lvlJc w:val="left"/>
      <w:pPr>
        <w:ind w:left="1440" w:hanging="360"/>
      </w:pPr>
    </w:lvl>
    <w:lvl w:ilvl="2" w:tplc="00C84802">
      <w:start w:val="1"/>
      <w:numFmt w:val="bullet"/>
      <w:lvlText w:val="■"/>
      <w:lvlJc w:val="left"/>
      <w:pPr>
        <w:ind w:left="2160" w:hanging="360"/>
      </w:pPr>
    </w:lvl>
    <w:lvl w:ilvl="3" w:tplc="EF3A3950">
      <w:start w:val="1"/>
      <w:numFmt w:val="bullet"/>
      <w:lvlText w:val="●"/>
      <w:lvlJc w:val="left"/>
      <w:pPr>
        <w:ind w:left="2880" w:hanging="360"/>
      </w:pPr>
    </w:lvl>
    <w:lvl w:ilvl="4" w:tplc="02A030D0">
      <w:start w:val="1"/>
      <w:numFmt w:val="bullet"/>
      <w:lvlText w:val="○"/>
      <w:lvlJc w:val="left"/>
      <w:pPr>
        <w:ind w:left="3600" w:hanging="360"/>
      </w:pPr>
    </w:lvl>
    <w:lvl w:ilvl="5" w:tplc="EAE28D52">
      <w:start w:val="1"/>
      <w:numFmt w:val="bullet"/>
      <w:lvlText w:val="■"/>
      <w:lvlJc w:val="left"/>
      <w:pPr>
        <w:ind w:left="4320" w:hanging="360"/>
      </w:pPr>
    </w:lvl>
    <w:lvl w:ilvl="6" w:tplc="294CB9E0">
      <w:start w:val="1"/>
      <w:numFmt w:val="bullet"/>
      <w:lvlText w:val="●"/>
      <w:lvlJc w:val="left"/>
      <w:pPr>
        <w:ind w:left="5040" w:hanging="360"/>
      </w:pPr>
    </w:lvl>
    <w:lvl w:ilvl="7" w:tplc="426228CA">
      <w:start w:val="1"/>
      <w:numFmt w:val="bullet"/>
      <w:lvlText w:val="●"/>
      <w:lvlJc w:val="left"/>
      <w:pPr>
        <w:ind w:left="5760" w:hanging="360"/>
      </w:pPr>
    </w:lvl>
    <w:lvl w:ilvl="8" w:tplc="3DFC8170">
      <w:start w:val="1"/>
      <w:numFmt w:val="bullet"/>
      <w:lvlText w:val="●"/>
      <w:lvlJc w:val="left"/>
      <w:pPr>
        <w:ind w:left="6480" w:hanging="360"/>
      </w:pPr>
    </w:lvl>
  </w:abstractNum>
  <w:num w:numId="1" w16cid:durableId="963729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03A"/>
    <w:rsid w:val="005F4F61"/>
    <w:rsid w:val="00BC203A"/>
    <w:rsid w:val="00ED1FC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68D30"/>
  <w15:docId w15:val="{D34F8DFF-AECF-4DE7-81F6-315357907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28"/>
      <w:szCs w:val="28"/>
    </w:rPr>
  </w:style>
  <w:style w:type="paragraph" w:styleId="Heading2">
    <w:name w:val="heading 2"/>
    <w:uiPriority w:val="9"/>
    <w:unhideWhenUsed/>
    <w:qFormat/>
    <w:pPr>
      <w:spacing w:before="360" w:after="180"/>
      <w:outlineLvl w:val="1"/>
    </w:pPr>
    <w:rPr>
      <w:b/>
      <w:bCs/>
      <w:sz w:val="26"/>
      <w:szCs w:val="26"/>
    </w:rPr>
  </w:style>
  <w:style w:type="paragraph" w:styleId="Heading3">
    <w:name w:val="heading 3"/>
    <w:uiPriority w:val="9"/>
    <w:semiHidden/>
    <w:unhideWhenUsed/>
    <w:qFormat/>
    <w:pPr>
      <w:spacing w:before="320" w:after="1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7610</Words>
  <Characters>43378</Characters>
  <Application>Microsoft Office Word</Application>
  <DocSecurity>0</DocSecurity>
  <Lines>361</Lines>
  <Paragraphs>101</Paragraphs>
  <ScaleCrop>false</ScaleCrop>
  <Company/>
  <LinksUpToDate>false</LinksUpToDate>
  <CharactersWithSpaces>50887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McGovern</cp:lastModifiedBy>
  <cp:revision>2</cp:revision>
  <dcterms:created xsi:type="dcterms:W3CDTF">2026-01-29T22:23:00Z</dcterms:created>
  <dcterms:modified xsi:type="dcterms:W3CDTF">2026-01-29T22:26:00Z</dcterms:modified>
</cp:coreProperties>
</file>