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20" w:lineRule="auto"/>
        <w:ind w:left="0" w:firstLine="0"/>
        <w:jc w:val="center"/>
        <w:rPr>
          <w:rFonts w:ascii="Times New Roman" w:cs="Times New Roman" w:eastAsia="Times New Roman" w:hAnsi="Times New Roman"/>
        </w:rPr>
      </w:pPr>
      <w:r w:rsidDel="00000000" w:rsidR="00000000" w:rsidRPr="00000000">
        <w:rPr>
          <w:rFonts w:ascii="Gill Sans" w:cs="Gill Sans" w:eastAsia="Gill Sans" w:hAnsi="Gill Sans"/>
          <w:sz w:val="28"/>
          <w:szCs w:val="28"/>
          <w:rtl w:val="0"/>
        </w:rPr>
        <w:t xml:space="preserve">Estado del arte de las medidas de seguridad a nivel de aplicación en el contexto de ataques de inyección de </w:t>
      </w:r>
      <w:r w:rsidDel="00000000" w:rsidR="00000000" w:rsidRPr="00000000">
        <w:rPr>
          <w:rFonts w:ascii="Gill Sans" w:cs="Gill Sans" w:eastAsia="Gill Sans" w:hAnsi="Gill Sans"/>
          <w:i w:val="1"/>
          <w:iCs w:val="1"/>
          <w:sz w:val="28"/>
          <w:szCs w:val="28"/>
          <w:rtl w:val="0"/>
        </w:rPr>
        <w:t xml:space="preserve">prompt </w:t>
      </w:r>
      <w:r w:rsidDel="00000000" w:rsidR="00000000" w:rsidRPr="00000000">
        <w:rPr>
          <w:rFonts w:ascii="Gill Sans" w:cs="Gill Sans" w:eastAsia="Gill Sans" w:hAnsi="Gill Sans"/>
          <w:sz w:val="28"/>
          <w:szCs w:val="28"/>
          <w:rtl w:val="0"/>
        </w:rPr>
        <w:t xml:space="preserve">dirigidos a sistemas basados en LLM - Protocolo de revisión</w:t>
      </w:r>
      <w:r w:rsidDel="00000000" w:rsidR="00000000" w:rsidRPr="00000000">
        <w:rPr>
          <w:rtl w:val="0"/>
        </w:rPr>
      </w:r>
    </w:p>
    <w:p w:rsidR="00000000" w:rsidDel="00000000" w:rsidP="00000000" w:rsidRDefault="00000000" w:rsidRPr="00000000" w14:paraId="00000002">
      <w:pPr>
        <w:pStyle w:val="Heading1"/>
        <w:spacing w:line="360" w:lineRule="auto"/>
        <w:jc w:val="both"/>
        <w:rPr>
          <w:rFonts w:ascii="Times New Roman" w:cs="Times New Roman" w:eastAsia="Times New Roman" w:hAnsi="Times New Roman"/>
          <w:sz w:val="24"/>
          <w:szCs w:val="24"/>
        </w:rPr>
      </w:pPr>
      <w:bookmarkStart w:colFirst="0" w:colLast="0" w:name="_cc3ecgb3hb5t" w:id="0"/>
      <w:bookmarkEnd w:id="0"/>
      <w:commentRangeStart w:id="0"/>
      <w:r w:rsidDel="00000000" w:rsidR="00000000" w:rsidRPr="00000000">
        <w:rPr>
          <w:rFonts w:ascii="Times New Roman" w:cs="Times New Roman" w:eastAsia="Times New Roman" w:hAnsi="Times New Roman"/>
          <w:sz w:val="36"/>
          <w:szCs w:val="36"/>
          <w:rtl w:val="0"/>
        </w:rPr>
        <w:t xml:space="preserve">Justificación - Introducción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Los sistemas basados en modelos grandes de lenguaje (LLM) se han incorporado de forma creciente en aplicaciones de uso cotidiano y profesional, permitiendo tareas como generación de texto, análisis de información, consulta de documentos e interacción con herramientas externas (IBM, 2026). Esta integración, sin embargo, introduce un riesgo de seguridad: los ataques de inyección de prompt, en los que instrucciones maliciosas son incorporadas directamente por un usuario o indirectamente a través de fuentes externas procesadas por el sistema (Vassilev et al., 2025).</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Greshake et al. (2023) muestran que esta vulnerabilidad surge de la dificultad de los sistemas basados en LLM para separar datos de instrucciones dentro de un mismo contexto de procesamiento, lo que permite que contenido manipulado por un atacante altere el comportamiento esperado del sistema. Frente a esta amenaza, la literatura ha propuesto una variedad de medidas de mitigación que intervienen en distintos componentes y niveles del sistema desde el ajuste o reentrenamiento del propio modelo, hasta controles implementados externamente a nivel de aplicación, sin modificar su arquitectura interna.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Esta revisión se enfoca específicamente en ese segundo nivel: las medidas de seguridad que pueden implementarse a nivel de aplicación, es decir, sobre los componentes que integran y rodean al LLM, considerando mecanismos como el procesamiento de entradas, la construcción de prompts, la detección de contenido malicioso, la validación de salidas, el control de herramientas y el monitoreo de actividad.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commentRangeStart w:id="3"/>
      <w:r w:rsidDel="00000000" w:rsidR="00000000" w:rsidRPr="00000000">
        <w:rPr>
          <w:rFonts w:ascii="Times New Roman" w:cs="Times New Roman" w:eastAsia="Times New Roman" w:hAnsi="Times New Roman"/>
          <w:sz w:val="24"/>
          <w:szCs w:val="24"/>
          <w:rtl w:val="0"/>
        </w:rPr>
        <w:t xml:space="preserve">La importancia de esta revisión responde directamente al problema de investigación identificado: Existe una dispersión del conocimiento existente sobre las medidas de seguridad a nivel de aplicación. Estas propuestas aparecen en estudios con diferentes objetivos, escenarios de aplicación y criterios de evaluación, lo que puede dificultar obtener una visión organizada de qué medidas existen, cómo funcionan y bajo qué condiciones son efectivas.</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dispersión tiene consecuencias prácticas concretas. Geng et al. (2026), por ejemplo, reportan que los ataques pueden superar el 90% de éxito en sistemas sin protección, mientras que las medidas de preprocesamiento de entradas alcanzan tasas de detección de entre 60% y 80%, y algunas defensas arquitectónicas llegan hasta 95% de protección frente a patrones conocidos pero advierten limitaciones significativas frente a ataques novedosos. De forma similar, Wang et al. (2026) documentan que las medidas de seguridad pueden presentar compromisos entre confiabilidad, utilidad y latencia, especialmente en tareas dependientes del contexto.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La identificación de brechas de investigación actuales, particularmente en lo relativo a marcos de evaluación estandarizados y a la generalización de las defensas frente a ataques novedosos. Un marco o contexto organizado que permita posicionar y comparar las propuestas existentes según su punto de intervención dentro del sistema, los tipos de ataque que abordan y los criterios usados para evaluarlas.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síntesis beneficiará tanto a interesados en seguridad de sistemas basados en LLM como a perfiles de administración de ciberseguridad y de desarrollo de software, quienes podrán usar esta evidencia como referencia al evaluar riesgos y alternativas de protección aplicables a sus propios sistemas.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existen revisiones sistemáticas sobre inyección de prompt que preceden a este trabajo, cada una con un enfoque distinto:</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line="360" w:lineRule="auto"/>
        <w:ind w:left="720" w:hanging="360"/>
        <w:jc w:val="both"/>
        <w:rPr>
          <w:rFonts w:ascii="Times New Roman" w:cs="Times New Roman" w:eastAsia="Times New Roman" w:hAnsi="Times New Roman"/>
          <w:sz w:val="24"/>
          <w:szCs w:val="24"/>
          <w:u w:val="none"/>
        </w:rPr>
      </w:pPr>
      <w:commentRangeStart w:id="5"/>
      <w:r w:rsidDel="00000000" w:rsidR="00000000" w:rsidRPr="00000000">
        <w:rPr>
          <w:rFonts w:ascii="Times New Roman" w:cs="Times New Roman" w:eastAsia="Times New Roman" w:hAnsi="Times New Roman"/>
          <w:sz w:val="24"/>
          <w:szCs w:val="24"/>
          <w:rtl w:val="0"/>
        </w:rPr>
        <w:t xml:space="preserve">Duarte et al. (2026) realizan una revisión centrada en la evolución, taxonomías, técnicas de ataque, métodos de evaluación y estrategias de defensa de la inyección de prompt de forma amplia, sin diferenciar sistemáticamente el nivel de intervención de cada medida.</w:t>
      </w:r>
    </w:p>
    <w:p w:rsidR="00000000" w:rsidDel="00000000" w:rsidP="00000000" w:rsidRDefault="00000000" w:rsidRPr="00000000" w14:paraId="0000001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Wang et al. (2026) sistematizan 78 trabajos sobre ataques y defensas en agentes basados en LLM, clasificando las defensas según su etapa de intervención como texto, modelo y ejecución, además de evaluar compromisos entre efectividad, utilidad del agente y costo computacional.</w:t>
      </w:r>
    </w:p>
    <w:p w:rsidR="00000000" w:rsidDel="00000000" w:rsidP="00000000" w:rsidRDefault="00000000" w:rsidRPr="00000000" w14:paraId="00000015">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Matthew E.S. (2025) explora métodos de inyección orientados a inducir respuestas dañinas y propone un marco de clasificación de ataques y defensas, también sin enfocarse en el punto de intervención del sistema.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commentRangeStart w:id="6"/>
      <w:commentRangeStart w:id="7"/>
      <w:r w:rsidDel="00000000" w:rsidR="00000000" w:rsidRPr="00000000">
        <w:rPr>
          <w:rFonts w:ascii="Times New Roman" w:cs="Times New Roman" w:eastAsia="Times New Roman" w:hAnsi="Times New Roman"/>
          <w:sz w:val="24"/>
          <w:szCs w:val="24"/>
          <w:rtl w:val="0"/>
        </w:rPr>
        <w:t xml:space="preserve">Estas revisiones permiten observar un panorama amplio de ataques y medidas de mitigación, pero ninguna delimita su análisis exclusivamente a las medidas implementables a nivel de aplicación, es decir, aquellas que no requieren modificar el entrenamiento ni la arquitectura interna del LLM. Esta es precisamente la brecha que está revisión busca cubrir: organizar y sintetizar la evidencia disponible sobre ese nivel específico de intervención, identificando sus características, contextos de aplicación, criterios de evaluación, y los compromisos entre seguridad, utilidad, rendimiento y complejidad de implementación reportados en la literatura.</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8">
      <w:pPr>
        <w:pStyle w:val="Heading1"/>
        <w:spacing w:line="360" w:lineRule="auto"/>
        <w:jc w:val="both"/>
        <w:rPr/>
      </w:pPr>
      <w:bookmarkStart w:colFirst="0" w:colLast="0" w:name="_1gjz2qqo80oi" w:id="1"/>
      <w:bookmarkEnd w:id="1"/>
      <w:r w:rsidDel="00000000" w:rsidR="00000000" w:rsidRPr="00000000">
        <w:rPr>
          <w:rFonts w:ascii="Times New Roman" w:cs="Times New Roman" w:eastAsia="Times New Roman" w:hAnsi="Times New Roman"/>
          <w:sz w:val="36"/>
          <w:szCs w:val="36"/>
          <w:rtl w:val="0"/>
        </w:rPr>
        <w:t xml:space="preserve">Preguntas de investigación</w:t>
      </w:r>
      <w:r w:rsidDel="00000000" w:rsidR="00000000" w:rsidRPr="00000000">
        <w:rPr>
          <w:rtl w:val="0"/>
        </w:rPr>
      </w:r>
    </w:p>
    <w:p w:rsidR="00000000" w:rsidDel="00000000" w:rsidP="00000000" w:rsidRDefault="00000000" w:rsidRPr="00000000" w14:paraId="0000001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Sujetos: Desarrolladores de software y población académica </w:t>
      </w:r>
    </w:p>
    <w:p w:rsidR="00000000" w:rsidDel="00000000" w:rsidP="00000000" w:rsidRDefault="00000000" w:rsidRPr="00000000" w14:paraId="0000001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Artefactos: Sistemas basados en LLM (aplicaciones que usan LLM para tareas x)</w:t>
      </w:r>
    </w:p>
    <w:p w:rsidR="00000000" w:rsidDel="00000000" w:rsidP="00000000" w:rsidRDefault="00000000" w:rsidRPr="00000000" w14:paraId="0000001B">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Métodos: Inyección de prompts en LLM</w:t>
      </w:r>
    </w:p>
    <w:p w:rsidR="00000000" w:rsidDel="00000000" w:rsidP="00000000" w:rsidRDefault="00000000" w:rsidRPr="00000000" w14:paraId="0000001C">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Tecnologías: LLM, IA </w:t>
      </w:r>
    </w:p>
    <w:p w:rsidR="00000000" w:rsidDel="00000000" w:rsidP="00000000" w:rsidRDefault="00000000" w:rsidRPr="00000000" w14:paraId="0000001D">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Tareas: Análisis de las medidas de seguridad, comparación de “métricas”</w:t>
      </w:r>
    </w:p>
    <w:p w:rsidR="00000000" w:rsidDel="00000000" w:rsidP="00000000" w:rsidRDefault="00000000" w:rsidRPr="00000000" w14:paraId="0000001E">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Enfoque: Medidas de seguridad que se implementan sin modificar el LLM</w:t>
      </w:r>
    </w:p>
    <w:p w:rsidR="00000000" w:rsidDel="00000000" w:rsidP="00000000" w:rsidRDefault="00000000" w:rsidRPr="00000000" w14:paraId="0000001F">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Alcance espacial: Sistemas basados en LLM</w:t>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temporal: Después de construir y entrenar el LLM</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Population: Sistemas basados en LLM.</w:t>
      </w:r>
    </w:p>
    <w:p w:rsidR="00000000" w:rsidDel="00000000" w:rsidP="00000000" w:rsidRDefault="00000000" w:rsidRPr="00000000" w14:paraId="00000023">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Intervention: Medidas de seguridad para inyección de prompt a nivel de aplicación.</w:t>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Inyección de prompt a nivel de aplicación.</w:t>
      </w:r>
    </w:p>
    <w:p w:rsidR="00000000" w:rsidDel="00000000" w:rsidP="00000000" w:rsidRDefault="00000000" w:rsidRPr="00000000" w14:paraId="00000025">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Outcomes: Se analiza y compara las medidas reportadas en la literatura científica.</w:t>
      </w:r>
    </w:p>
    <w:p w:rsidR="00000000" w:rsidDel="00000000" w:rsidP="00000000" w:rsidRDefault="00000000" w:rsidRPr="00000000" w14:paraId="00000026">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Context: A nivel de aplicación, sin modificar la construcción y/o entrenamiento del LLM.</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medidas de seguridad a nivel de aplicación han sido propuestas y evaluadas frente a los ataques de inyección de prompt en sistemas basados en LLM, y cuáles son sus principales características, alcances, limitaciones y criterios de evaluación?</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¿Cuáles son los tipos de inyección de </w:t>
      </w:r>
      <w:r w:rsidDel="00000000" w:rsidR="00000000" w:rsidRPr="00000000">
        <w:rPr>
          <w:rFonts w:ascii="Times New Roman" w:cs="Times New Roman" w:eastAsia="Times New Roman" w:hAnsi="Times New Roman"/>
          <w:i w:val="1"/>
          <w:iCs w:val="1"/>
          <w:sz w:val="24"/>
          <w:szCs w:val="24"/>
          <w:rtl w:val="0"/>
        </w:rPr>
        <w:t xml:space="preserve">prompt </w:t>
      </w:r>
      <w:r w:rsidDel="00000000" w:rsidR="00000000" w:rsidRPr="00000000">
        <w:rPr>
          <w:rFonts w:ascii="Times New Roman" w:cs="Times New Roman" w:eastAsia="Times New Roman" w:hAnsi="Times New Roman"/>
          <w:sz w:val="24"/>
          <w:szCs w:val="24"/>
          <w:rtl w:val="0"/>
        </w:rPr>
        <w:t xml:space="preserve">a nivel de aplicación en los sistemas basados en LLM?</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t>
      </w:r>
      <w:commentRangeStart w:id="8"/>
      <w:r w:rsidDel="00000000" w:rsidR="00000000" w:rsidRPr="00000000">
        <w:rPr>
          <w:rFonts w:ascii="Times New Roman" w:cs="Times New Roman" w:eastAsia="Times New Roman" w:hAnsi="Times New Roman"/>
          <w:sz w:val="24"/>
          <w:szCs w:val="24"/>
          <w:rtl w:val="0"/>
        </w:rPr>
        <w:t xml:space="preserve">¿Qué medidas de seguridad a nivel de aplicación han sido propuestas en la literatura reciente para reducir los ataques de inyección de </w:t>
      </w:r>
      <w:r w:rsidDel="00000000" w:rsidR="00000000" w:rsidRPr="00000000">
        <w:rPr>
          <w:rFonts w:ascii="Times New Roman" w:cs="Times New Roman" w:eastAsia="Times New Roman" w:hAnsi="Times New Roman"/>
          <w:i w:val="1"/>
          <w:iCs w:val="1"/>
          <w:sz w:val="24"/>
          <w:szCs w:val="24"/>
          <w:rtl w:val="0"/>
        </w:rPr>
        <w:t xml:space="preserve">prompt </w:t>
      </w:r>
      <w:r w:rsidDel="00000000" w:rsidR="00000000" w:rsidRPr="00000000">
        <w:rPr>
          <w:rFonts w:ascii="Times New Roman" w:cs="Times New Roman" w:eastAsia="Times New Roman" w:hAnsi="Times New Roman"/>
          <w:sz w:val="24"/>
          <w:szCs w:val="24"/>
          <w:rtl w:val="0"/>
        </w:rPr>
        <w:t xml:space="preserve">en sistemas basados en LLM?</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t>
      </w:r>
      <w:commentRangeStart w:id="9"/>
      <w:commentRangeStart w:id="10"/>
      <w:commentRangeStart w:id="11"/>
      <w:commentRangeStart w:id="12"/>
      <w:r w:rsidDel="00000000" w:rsidR="00000000" w:rsidRPr="00000000">
        <w:rPr>
          <w:rFonts w:ascii="Times New Roman" w:cs="Times New Roman" w:eastAsia="Times New Roman" w:hAnsi="Times New Roman"/>
          <w:sz w:val="24"/>
          <w:szCs w:val="24"/>
          <w:rtl w:val="0"/>
        </w:rPr>
        <w:t xml:space="preserve">¿Qué tipo de categorías existen para las medidas de seguridad identificadas de acuerdo con el punto de intervención dentro del sistema basado en LLM?</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t>
      </w:r>
      <w:commentRangeStart w:id="13"/>
      <w:commentRangeStart w:id="14"/>
      <w:commentRangeStart w:id="15"/>
      <w:commentRangeStart w:id="16"/>
      <w:commentRangeStart w:id="17"/>
      <w:r w:rsidDel="00000000" w:rsidR="00000000" w:rsidRPr="00000000">
        <w:rPr>
          <w:rFonts w:ascii="Times New Roman" w:cs="Times New Roman" w:eastAsia="Times New Roman" w:hAnsi="Times New Roman"/>
          <w:sz w:val="24"/>
          <w:szCs w:val="24"/>
          <w:rtl w:val="0"/>
        </w:rPr>
        <w:t xml:space="preserve">¿En qué escenarios han sido implementadas las medidas de seguridad identificadas en la literatura?</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¿Cómo se evalúan las medidas de seguridad para determinar su efectividad contra los ataques de inyección?</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¿Qué limitaciones y retos han sido reportadas para las medidas de seguridad analizadas contra ataques de inyección de prompt?</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w:t>
      </w:r>
      <w:commentRangeStart w:id="18"/>
      <w:r w:rsidDel="00000000" w:rsidR="00000000" w:rsidRPr="00000000">
        <w:rPr>
          <w:rFonts w:ascii="Times New Roman" w:cs="Times New Roman" w:eastAsia="Times New Roman" w:hAnsi="Times New Roman"/>
          <w:sz w:val="24"/>
          <w:szCs w:val="24"/>
          <w:rtl w:val="0"/>
        </w:rPr>
        <w:t xml:space="preserve">¿Qué líneas de trabajo futuro permanecen abiertas en la literatura sobre medidas de seguridad a nivel de aplicación frente a ataques de inyección de </w:t>
      </w:r>
      <w:r w:rsidDel="00000000" w:rsidR="00000000" w:rsidRPr="00000000">
        <w:rPr>
          <w:rFonts w:ascii="Times New Roman" w:cs="Times New Roman" w:eastAsia="Times New Roman" w:hAnsi="Times New Roman"/>
          <w:i w:val="1"/>
          <w:i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w:t>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conceptos que esten englobados en las preguntas.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Conceptos globales y secundarios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Terminos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Cadenas preliminares</w:t>
      </w:r>
    </w:p>
    <w:p w:rsidR="00000000" w:rsidDel="00000000" w:rsidP="00000000" w:rsidRDefault="00000000" w:rsidRPr="00000000" w14:paraId="00000036">
      <w:pPr>
        <w:pStyle w:val="Heading1"/>
        <w:spacing w:line="360" w:lineRule="auto"/>
        <w:ind w:left="0" w:firstLine="0"/>
        <w:jc w:val="both"/>
        <w:rPr>
          <w:rFonts w:ascii="Times New Roman" w:cs="Times New Roman" w:eastAsia="Times New Roman" w:hAnsi="Times New Roman"/>
          <w:sz w:val="24"/>
          <w:szCs w:val="24"/>
        </w:rPr>
      </w:pPr>
      <w:bookmarkStart w:colFirst="0" w:colLast="0" w:name="_z346uaegpat4" w:id="2"/>
      <w:bookmarkEnd w:id="2"/>
      <w:r w:rsidDel="00000000" w:rsidR="00000000" w:rsidRPr="00000000">
        <w:rPr>
          <w:rFonts w:ascii="Times New Roman" w:cs="Times New Roman" w:eastAsia="Times New Roman" w:hAnsi="Times New Roman"/>
          <w:sz w:val="36"/>
          <w:szCs w:val="36"/>
          <w:rtl w:val="0"/>
        </w:rPr>
        <w:t xml:space="preserve">IEEE</w:t>
      </w:r>
      <w:r w:rsidDel="00000000" w:rsidR="00000000" w:rsidRPr="00000000">
        <w:rPr>
          <w:rtl w:val="0"/>
        </w:rPr>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3555"/>
        <w:tblGridChange w:id="0">
          <w:tblGrid>
            <w:gridCol w:w="6135"/>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A Comprehensive Assessment Tool for Prompt Injection Attacks in LLMs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Q2, Q3, Q4, Q5, Q6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An Experimental Evaluation of Prompt Injection Attacks on LLM-Based Content Moderation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Q4, Q5, Q6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DaMiT-SQL: Detecting and Mitigating Text-to-SQL Prompt Injection Attacks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Q2, Q4, Q5, Q6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DataSentinel: A Game-Theoretic Detection of Prompt Injection Attacks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Q2, Q3, Q5, Q6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Defending Against Prompt Injection Attacks Using Automatic System Prompt Engineering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Q2, Q5, Q6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Evaluating a Multilayered Defense Against Prompt Injection in LLM-Augmented Educational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Q2, Q3, Q4, Q5, Q6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PRISM: Prompt Red-teaming and Injection Simulation for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Q3, Q5 y Q7</w:t>
            </w: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Prevention of Prompt Injection Attacks Over Financial Applications Integrated with 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Q2, Q3, Q4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Prompt Injection as the New SQL Injection: The Emergence of Attacks on AI Reasoning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Q2, Q5, Q6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Prompting for LLM Security and RAG: A Survey from Zero-Shot to APO and Prompt-Injection Defenses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Q2, Q4, Q5, Q6 y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Reconstruction-Based Prompt Generation Algorithm for Prompt Injection Attacks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20" w:before="220" w:line="240" w:lineRule="auto"/>
              <w:ind w:left="0" w:firstLine="0"/>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Q5, Q6 y Q7</w:t>
            </w:r>
            <w:r w:rsidDel="00000000" w:rsidR="00000000" w:rsidRPr="00000000">
              <w:rPr>
                <w:rtl w:val="0"/>
              </w:rPr>
            </w:r>
          </w:p>
        </w:tc>
      </w:tr>
    </w:tbl>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1"/>
        <w:spacing w:line="360" w:lineRule="auto"/>
        <w:jc w:val="both"/>
        <w:rPr>
          <w:rFonts w:ascii="Times New Roman" w:cs="Times New Roman" w:eastAsia="Times New Roman" w:hAnsi="Times New Roman"/>
          <w:sz w:val="24"/>
          <w:szCs w:val="24"/>
        </w:rPr>
      </w:pPr>
      <w:bookmarkStart w:colFirst="0" w:colLast="0" w:name="_ybipj759j8gj" w:id="3"/>
      <w:bookmarkEnd w:id="3"/>
      <w:r w:rsidDel="00000000" w:rsidR="00000000" w:rsidRPr="00000000">
        <w:rPr>
          <w:rFonts w:ascii="Times New Roman" w:cs="Times New Roman" w:eastAsia="Times New Roman" w:hAnsi="Times New Roman"/>
          <w:sz w:val="36"/>
          <w:szCs w:val="36"/>
          <w:rtl w:val="0"/>
        </w:rPr>
        <w:t xml:space="preserve">ACM</w:t>
      </w:r>
      <w:r w:rsidDel="00000000" w:rsidR="00000000" w:rsidRPr="00000000">
        <w:rPr>
          <w:rtl w:val="0"/>
        </w:rPr>
      </w:r>
    </w:p>
    <w:tbl>
      <w:tblPr>
        <w:tblStyle w:val="Table2"/>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3555"/>
        <w:tblGridChange w:id="0">
          <w:tblGrid>
            <w:gridCol w:w="6135"/>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Benchmarking and Defending against Indirect Prompt Injection Attacks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Q2, Q4, Q5, Q6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A Critical Evaluation of Defenses against Prompt Injection Attacks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Q3, Q5, Q6,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Prompt-to-SQL Injections in LLM-Integrated</w:t>
            </w:r>
          </w:p>
          <w:p w:rsidR="00000000" w:rsidDel="00000000" w:rsidP="00000000" w:rsidRDefault="00000000" w:rsidRPr="00000000" w14:paraId="00000058">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Applications: Risks and Defenses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Q2, Q4,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SecAlign Defending Against Prompt Injection with Preference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Q2, Q4,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How Not to Detect Prompt Injections with an 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Q5, Q6, Q7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Analysis of LLMs Against Prompt Injection and Jailbreak Attacks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Q2, Q3, Q6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A Review of Large Language Models for Cybersecurity Defense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Q3, Q7</w:t>
            </w: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Optimization-based Prompt Injection Attack to LLM-as-a-Judge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 Q4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AgentBreaker Evaluating Context-Aware Indirect Prompt Injection Risks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Q2, Q4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Defending Against Prompt Injection With a Few DefensiveTokens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Q2, Q3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120" w:line="36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Weaponizing Words Direct &amp; Indirect Prompt Injection Attacks on 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20" w:before="220"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1f1f1f"/>
                <w:rtl w:val="0"/>
              </w:rPr>
              <w:t xml:space="preserve">Q1</w:t>
            </w:r>
            <w:r w:rsidDel="00000000" w:rsidR="00000000" w:rsidRPr="00000000">
              <w:rPr>
                <w:rtl w:val="0"/>
              </w:rPr>
            </w:r>
          </w:p>
        </w:tc>
      </w:tr>
    </w:tbl>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spacing w:line="360" w:lineRule="auto"/>
        <w:jc w:val="both"/>
        <w:rPr/>
      </w:pPr>
      <w:bookmarkStart w:colFirst="0" w:colLast="0" w:name="_jchhkmxdloxq" w:id="4"/>
      <w:bookmarkEnd w:id="4"/>
      <w:r w:rsidDel="00000000" w:rsidR="00000000" w:rsidRPr="00000000">
        <w:rPr>
          <w:rFonts w:ascii="Times New Roman" w:cs="Times New Roman" w:eastAsia="Times New Roman" w:hAnsi="Times New Roman"/>
          <w:sz w:val="36"/>
          <w:szCs w:val="36"/>
          <w:rtl w:val="0"/>
        </w:rPr>
        <w:t xml:space="preserve">SpringerLink</w:t>
      </w:r>
      <w:r w:rsidDel="00000000" w:rsidR="00000000" w:rsidRPr="00000000">
        <w:rPr>
          <w:rtl w:val="0"/>
        </w:rPr>
      </w:r>
    </w:p>
    <w:tbl>
      <w:tblPr>
        <w:tblStyle w:val="Table3"/>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3555"/>
        <w:tblGridChange w:id="0">
          <w:tblGrid>
            <w:gridCol w:w="6135"/>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Attacks on Large Language Model Applications: Prompt Injection and Token Drain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Q4, Q5, Q6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Against Prompt Injection Attacks via Intention 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Q4, Q5, Q6, Q7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prompt injection in large language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Q2, Q7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 Prompt Injection Against LLM Copilots in Industrial Control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Q2, Q3, Q4, Q5, Q6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Injection Attacks on Educational Large Language Models for Higher and Vocational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Q2, Q3, Q4, Q5, Q6, Q7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Implications of Prompt Injection in AI-Mediated Grading: An Adversarial Red-Team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Q5, Q6, Q7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Infection: LLM-to-LLM Prompt Injection within Multi-Agent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Q6, Q7</w:t>
            </w:r>
          </w:p>
        </w:tc>
      </w:tr>
    </w:tbl>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1"/>
        <w:spacing w:line="360" w:lineRule="auto"/>
        <w:jc w:val="both"/>
        <w:rPr>
          <w:rFonts w:ascii="Times New Roman" w:cs="Times New Roman" w:eastAsia="Times New Roman" w:hAnsi="Times New Roman"/>
          <w:sz w:val="24"/>
          <w:szCs w:val="24"/>
        </w:rPr>
      </w:pPr>
      <w:bookmarkStart w:colFirst="0" w:colLast="0" w:name="_9v6r4aeullmd" w:id="5"/>
      <w:bookmarkEnd w:id="5"/>
      <w:r w:rsidDel="00000000" w:rsidR="00000000" w:rsidRPr="00000000">
        <w:rPr>
          <w:rFonts w:ascii="Times New Roman" w:cs="Times New Roman" w:eastAsia="Times New Roman" w:hAnsi="Times New Roman"/>
          <w:sz w:val="36"/>
          <w:szCs w:val="36"/>
          <w:rtl w:val="0"/>
        </w:rPr>
        <w:t xml:space="preserve">ScienceDirect</w:t>
      </w:r>
      <w:r w:rsidDel="00000000" w:rsidR="00000000" w:rsidRPr="00000000">
        <w:rPr>
          <w:rtl w:val="0"/>
        </w:rPr>
      </w:r>
    </w:p>
    <w:tbl>
      <w:tblPr>
        <w:tblStyle w:val="Table4"/>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3555"/>
        <w:tblGridChange w:id="0">
          <w:tblGrid>
            <w:gridCol w:w="6135"/>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Injection Attacks on Large Language Models: A Survey of Attack Methods, Root Causes, and Defense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white-box prompt injection attack on embodied AI agents driven by large language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Prompt-based attacks and defenses in large language models: A systematic review of threat models, taxonomies, and evaluation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prompt injections to protocol exploits: Threats in LLM-powered AI agents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12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12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D">
      <w:pPr>
        <w:pStyle w:val="Heading1"/>
        <w:spacing w:line="360" w:lineRule="auto"/>
        <w:jc w:val="both"/>
        <w:rPr>
          <w:rFonts w:ascii="Times New Roman" w:cs="Times New Roman" w:eastAsia="Times New Roman" w:hAnsi="Times New Roman"/>
          <w:sz w:val="36"/>
          <w:szCs w:val="36"/>
        </w:rPr>
      </w:pPr>
      <w:bookmarkStart w:colFirst="0" w:colLast="0" w:name="_1box5uhedzek" w:id="6"/>
      <w:bookmarkEnd w:id="6"/>
      <w:r w:rsidDel="00000000" w:rsidR="00000000" w:rsidRPr="00000000">
        <w:rPr>
          <w:rtl w:val="0"/>
        </w:rPr>
      </w:r>
    </w:p>
    <w:p w:rsidR="00000000" w:rsidDel="00000000" w:rsidP="00000000" w:rsidRDefault="00000000" w:rsidRPr="00000000" w14:paraId="0000008E">
      <w:pPr>
        <w:pStyle w:val="Heading1"/>
        <w:spacing w:line="360" w:lineRule="auto"/>
        <w:jc w:val="both"/>
        <w:rPr>
          <w:rFonts w:ascii="Times New Roman" w:cs="Times New Roman" w:eastAsia="Times New Roman" w:hAnsi="Times New Roman"/>
          <w:sz w:val="24"/>
          <w:szCs w:val="24"/>
        </w:rPr>
      </w:pPr>
      <w:bookmarkStart w:colFirst="0" w:colLast="0" w:name="_46kc84352t9g" w:id="7"/>
      <w:bookmarkEnd w:id="7"/>
      <w:r w:rsidDel="00000000" w:rsidR="00000000" w:rsidRPr="00000000">
        <w:rPr>
          <w:rFonts w:ascii="Times New Roman" w:cs="Times New Roman" w:eastAsia="Times New Roman" w:hAnsi="Times New Roman"/>
          <w:sz w:val="36"/>
          <w:szCs w:val="36"/>
          <w:rtl w:val="0"/>
        </w:rPr>
        <w:t xml:space="preserve">Venues</w:t>
      </w:r>
      <w:r w:rsidDel="00000000" w:rsidR="00000000" w:rsidRPr="00000000">
        <w:rPr>
          <w:rtl w:val="0"/>
        </w:rPr>
      </w:r>
    </w:p>
    <w:p w:rsidR="00000000" w:rsidDel="00000000" w:rsidP="00000000" w:rsidRDefault="00000000" w:rsidRPr="00000000" w14:paraId="0000008F">
      <w:pPr>
        <w:spacing w:line="360" w:lineRule="auto"/>
        <w:jc w:val="both"/>
        <w:rPr>
          <w:color w:val="196600"/>
          <w:sz w:val="27"/>
          <w:szCs w:val="27"/>
          <w:shd w:fill="f8f8f8" w:val="clear"/>
        </w:rPr>
      </w:pPr>
      <w:r w:rsidDel="00000000" w:rsidR="00000000" w:rsidRPr="00000000">
        <w:rPr>
          <w:color w:val="196600"/>
          <w:sz w:val="27"/>
          <w:szCs w:val="27"/>
          <w:shd w:fill="f8f8f8" w:val="clear"/>
          <w:rtl w:val="0"/>
        </w:rPr>
        <w:t xml:space="preserve">2026 IEEE 5th International Conference on AI in Cybersecurity (ICAIC)</w:t>
      </w:r>
    </w:p>
    <w:p w:rsidR="00000000" w:rsidDel="00000000" w:rsidP="00000000" w:rsidRDefault="00000000" w:rsidRPr="00000000" w14:paraId="00000090">
      <w:pPr>
        <w:spacing w:line="360" w:lineRule="auto"/>
        <w:jc w:val="both"/>
        <w:rPr>
          <w:color w:val="196600"/>
          <w:sz w:val="27"/>
          <w:szCs w:val="27"/>
          <w:shd w:fill="f8f8f8" w:val="clear"/>
        </w:rPr>
      </w:pPr>
      <w:r w:rsidDel="00000000" w:rsidR="00000000" w:rsidRPr="00000000">
        <w:rPr>
          <w:rtl w:val="0"/>
        </w:rPr>
      </w:r>
    </w:p>
    <w:p w:rsidR="00000000" w:rsidDel="00000000" w:rsidP="00000000" w:rsidRDefault="00000000" w:rsidRPr="00000000" w14:paraId="00000091">
      <w:pPr>
        <w:spacing w:line="360" w:lineRule="auto"/>
        <w:jc w:val="both"/>
        <w:rPr>
          <w:color w:val="196600"/>
          <w:sz w:val="27"/>
          <w:szCs w:val="27"/>
          <w:shd w:fill="f8f8f8" w:val="clear"/>
        </w:rPr>
      </w:pPr>
      <w:r w:rsidDel="00000000" w:rsidR="00000000" w:rsidRPr="00000000">
        <w:rPr>
          <w:color w:val="196600"/>
          <w:sz w:val="27"/>
          <w:szCs w:val="27"/>
          <w:shd w:fill="f8f8f8" w:val="clear"/>
          <w:rtl w:val="0"/>
        </w:rPr>
        <w:t xml:space="preserve">2025 IEEE International Conference on Collaborative Advances in Software and COmputiNg (CASCON)</w:t>
      </w:r>
    </w:p>
    <w:p w:rsidR="00000000" w:rsidDel="00000000" w:rsidP="00000000" w:rsidRDefault="00000000" w:rsidRPr="00000000" w14:paraId="00000092">
      <w:pPr>
        <w:spacing w:line="360" w:lineRule="auto"/>
        <w:jc w:val="both"/>
        <w:rPr>
          <w:color w:val="196600"/>
          <w:sz w:val="27"/>
          <w:szCs w:val="27"/>
          <w:shd w:fill="f8f8f8" w:val="clear"/>
        </w:rPr>
      </w:pPr>
      <w:r w:rsidDel="00000000" w:rsidR="00000000" w:rsidRPr="00000000">
        <w:rPr>
          <w:color w:val="196600"/>
          <w:sz w:val="27"/>
          <w:szCs w:val="27"/>
          <w:shd w:fill="f8f8f8" w:val="clear"/>
          <w:rtl w:val="0"/>
        </w:rPr>
        <w:t xml:space="preserve">2025 IEEE Symposium on Security and Privacy (SP)</w:t>
      </w:r>
    </w:p>
    <w:p w:rsidR="00000000" w:rsidDel="00000000" w:rsidP="00000000" w:rsidRDefault="00000000" w:rsidRPr="00000000" w14:paraId="00000093">
      <w:pPr>
        <w:spacing w:line="360" w:lineRule="auto"/>
        <w:jc w:val="both"/>
        <w:rPr>
          <w:color w:val="196600"/>
          <w:sz w:val="27"/>
          <w:szCs w:val="27"/>
          <w:shd w:fill="f8f8f8" w:val="clear"/>
        </w:rPr>
      </w:pPr>
      <w:r w:rsidDel="00000000" w:rsidR="00000000" w:rsidRPr="00000000">
        <w:rPr>
          <w:rtl w:val="0"/>
        </w:rPr>
      </w:r>
    </w:p>
    <w:p w:rsidR="00000000" w:rsidDel="00000000" w:rsidP="00000000" w:rsidRDefault="00000000" w:rsidRPr="00000000" w14:paraId="00000094">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Ding, Z. H., &amp; Labrinidis, A. (2025). DaMiT-SQL: Detecting and Mitigating Text-to-SQL Prompt Injection Attacks. </w:t>
      </w:r>
      <w:r w:rsidDel="00000000" w:rsidR="00000000" w:rsidRPr="00000000">
        <w:rPr>
          <w:rFonts w:ascii="Times New Roman" w:cs="Times New Roman" w:eastAsia="Times New Roman" w:hAnsi="Times New Roman"/>
          <w:i w:val="1"/>
          <w:iCs w:val="1"/>
          <w:sz w:val="24"/>
          <w:szCs w:val="24"/>
          <w:rtl w:val="0"/>
        </w:rPr>
        <w:t xml:space="preserve">Proceedings - 2025 IEEE International Conference on Collaborative Advances in Software and Computing, CASCON 2025</w:t>
      </w:r>
      <w:r w:rsidDel="00000000" w:rsidR="00000000" w:rsidRPr="00000000">
        <w:rPr>
          <w:rFonts w:ascii="Times New Roman" w:cs="Times New Roman" w:eastAsia="Times New Roman" w:hAnsi="Times New Roman"/>
          <w:sz w:val="24"/>
          <w:szCs w:val="24"/>
          <w:rtl w:val="0"/>
        </w:rPr>
        <w:t xml:space="preserve">, 641–646.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https://doi.org/10.1109/CASCON66301.2025.00116</w:t>
        </w:r>
      </w:hyperlink>
      <w:r w:rsidDel="00000000" w:rsidR="00000000" w:rsidRPr="00000000">
        <w:rPr>
          <w:rtl w:val="0"/>
        </w:rPr>
      </w:r>
    </w:p>
    <w:p w:rsidR="00000000" w:rsidDel="00000000" w:rsidP="00000000" w:rsidRDefault="00000000" w:rsidRPr="00000000" w14:paraId="00000095">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Y., Jia, Y., Jia, J., Song, D., &amp; Gong, N. Z. (2025). DataSentinel: A Game-Theoretic Detection of Prompt Injection Attacks. </w:t>
      </w:r>
      <w:r w:rsidDel="00000000" w:rsidR="00000000" w:rsidRPr="00000000">
        <w:rPr>
          <w:rFonts w:ascii="Times New Roman" w:cs="Times New Roman" w:eastAsia="Times New Roman" w:hAnsi="Times New Roman"/>
          <w:i w:val="1"/>
          <w:iCs w:val="1"/>
          <w:sz w:val="24"/>
          <w:szCs w:val="24"/>
          <w:rtl w:val="0"/>
        </w:rPr>
        <w:t xml:space="preserve">Proceedings - IEEE Symposium on Security and Privacy</w:t>
      </w:r>
      <w:r w:rsidDel="00000000" w:rsidR="00000000" w:rsidRPr="00000000">
        <w:rPr>
          <w:rFonts w:ascii="Times New Roman" w:cs="Times New Roman" w:eastAsia="Times New Roman" w:hAnsi="Times New Roman"/>
          <w:sz w:val="24"/>
          <w:szCs w:val="24"/>
          <w:rtl w:val="0"/>
        </w:rPr>
        <w:t xml:space="preserve">, 2190–2208.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https://doi.org/10.1109/SP61157.2025.00250</w:t>
        </w:r>
      </w:hyperlink>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keepNext w:val="0"/>
        <w:keepLines w:val="0"/>
        <w:numPr>
          <w:ilvl w:val="0"/>
          <w:numId w:val="4"/>
        </w:numPr>
        <w:spacing w:after="0" w:afterAutospacing="0" w:before="0" w:line="360" w:lineRule="auto"/>
        <w:ind w:left="720" w:hanging="360"/>
        <w:jc w:val="both"/>
        <w:rPr>
          <w:sz w:val="24"/>
          <w:szCs w:val="24"/>
        </w:rPr>
      </w:pPr>
      <w:r w:rsidDel="00000000" w:rsidR="00000000" w:rsidRPr="00000000">
        <w:rPr>
          <w:sz w:val="24"/>
          <w:szCs w:val="24"/>
          <w:rtl w:val="0"/>
        </w:rPr>
        <w:t xml:space="preserve">("Abstract":LLM OR "Abstract":large language model) AND ("Abstract":prompt injection) AND ("Abstract":defense)</w:t>
      </w:r>
    </w:p>
    <w:p w:rsidR="00000000" w:rsidDel="00000000" w:rsidP="00000000" w:rsidRDefault="00000000" w:rsidRPr="00000000" w14:paraId="00000098">
      <w:pPr>
        <w:numPr>
          <w:ilvl w:val="0"/>
          <w:numId w:val="4"/>
        </w:numPr>
        <w:spacing w:line="360" w:lineRule="auto"/>
        <w:ind w:left="720" w:hanging="360"/>
        <w:jc w:val="both"/>
        <w:rPr>
          <w:sz w:val="24"/>
          <w:szCs w:val="24"/>
        </w:rPr>
      </w:pPr>
      <w:r w:rsidDel="00000000" w:rsidR="00000000" w:rsidRPr="00000000">
        <w:rPr>
          <w:sz w:val="24"/>
          <w:szCs w:val="24"/>
          <w:rtl w:val="0"/>
        </w:rPr>
        <w:t xml:space="preserve">[[Abstract: llm] OR [Abstract: large language model]] AND [Abstract: prompt injection] AND [Abstract: defense]</w:t>
      </w:r>
    </w:p>
    <w:p w:rsidR="00000000" w:rsidDel="00000000" w:rsidP="00000000" w:rsidRDefault="00000000" w:rsidRPr="00000000" w14:paraId="00000099">
      <w:pPr>
        <w:numPr>
          <w:ilvl w:val="0"/>
          <w:numId w:val="4"/>
        </w:numPr>
        <w:spacing w:line="360" w:lineRule="auto"/>
        <w:ind w:left="720" w:hanging="360"/>
        <w:jc w:val="both"/>
        <w:rPr>
          <w:sz w:val="24"/>
          <w:szCs w:val="24"/>
        </w:rPr>
      </w:pPr>
      <w:r w:rsidDel="00000000" w:rsidR="00000000" w:rsidRPr="00000000">
        <w:rPr>
          <w:sz w:val="24"/>
          <w:szCs w:val="24"/>
          <w:rtl w:val="0"/>
        </w:rPr>
        <w:t xml:space="preserve">(LLM or large language model) AND (prompt injection) AND (defense)</w:t>
      </w:r>
    </w:p>
    <w:p w:rsidR="00000000" w:rsidDel="00000000" w:rsidP="00000000" w:rsidRDefault="00000000" w:rsidRPr="00000000" w14:paraId="0000009A">
      <w:pPr>
        <w:numPr>
          <w:ilvl w:val="0"/>
          <w:numId w:val="4"/>
        </w:numPr>
        <w:spacing w:line="360" w:lineRule="auto"/>
        <w:ind w:left="720" w:hanging="360"/>
        <w:jc w:val="both"/>
        <w:rPr>
          <w:sz w:val="24"/>
          <w:szCs w:val="24"/>
        </w:rPr>
      </w:pPr>
      <w:r w:rsidDel="00000000" w:rsidR="00000000" w:rsidRPr="00000000">
        <w:rPr>
          <w:sz w:val="24"/>
          <w:szCs w:val="24"/>
          <w:rtl w:val="0"/>
        </w:rPr>
        <w:t xml:space="preserve">("Abstract":LLM) OR ("Abstract":large language model) AND ("Abstract":prompt injection) AND ("Abstract":defense)</w:t>
      </w:r>
    </w:p>
    <w:p w:rsidR="00000000" w:rsidDel="00000000" w:rsidP="00000000" w:rsidRDefault="00000000" w:rsidRPr="00000000" w14:paraId="0000009B">
      <w:pPr>
        <w:numPr>
          <w:ilvl w:val="0"/>
          <w:numId w:val="4"/>
        </w:numPr>
        <w:spacing w:line="360" w:lineRule="auto"/>
        <w:ind w:left="720" w:hanging="360"/>
        <w:jc w:val="both"/>
        <w:rPr>
          <w:sz w:val="24"/>
          <w:szCs w:val="24"/>
        </w:rPr>
      </w:pPr>
      <w:r w:rsidDel="00000000" w:rsidR="00000000" w:rsidRPr="00000000">
        <w:rPr>
          <w:sz w:val="24"/>
          <w:szCs w:val="24"/>
          <w:rtl w:val="0"/>
        </w:rPr>
        <w:t xml:space="preserve">(LLM OR large language model) AND (prompt injection) AND (defense)</w:t>
      </w:r>
      <w:r w:rsidDel="00000000" w:rsidR="00000000" w:rsidRPr="00000000">
        <w:rPr>
          <w:rtl w:val="0"/>
        </w:rPr>
      </w:r>
    </w:p>
    <w:p w:rsidR="00000000" w:rsidDel="00000000" w:rsidP="00000000" w:rsidRDefault="00000000" w:rsidRPr="00000000" w14:paraId="0000009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76" w:lineRule="auto"/>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Cosas:</w:t>
      </w:r>
    </w:p>
    <w:p w:rsidR="00000000" w:rsidDel="00000000" w:rsidP="00000000" w:rsidRDefault="00000000" w:rsidRPr="00000000" w14:paraId="0000009E">
      <w:pPr>
        <w:numPr>
          <w:ilvl w:val="0"/>
          <w:numId w:val="2"/>
        </w:numPr>
        <w:spacing w:line="276" w:lineRule="auto"/>
        <w:ind w:left="72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Justificación de la revisión, retoma ideas de la problemática y de la justificación -</w:t>
      </w:r>
    </w:p>
    <w:p w:rsidR="00000000" w:rsidDel="00000000" w:rsidP="00000000" w:rsidRDefault="00000000" w:rsidRPr="00000000" w14:paraId="0000009F">
      <w:pPr>
        <w:numPr>
          <w:ilvl w:val="0"/>
          <w:numId w:val="7"/>
        </w:numPr>
        <w:spacing w:line="276" w:lineRule="auto"/>
        <w:ind w:left="72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Cómo será la selección</w:t>
      </w:r>
    </w:p>
    <w:p w:rsidR="00000000" w:rsidDel="00000000" w:rsidP="00000000" w:rsidRDefault="00000000" w:rsidRPr="00000000" w14:paraId="000000A0">
      <w:pPr>
        <w:numPr>
          <w:ilvl w:val="1"/>
          <w:numId w:val="7"/>
        </w:numPr>
        <w:spacing w:line="276" w:lineRule="auto"/>
        <w:ind w:left="144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definir preguntas de investigación -</w:t>
      </w:r>
    </w:p>
    <w:p w:rsidR="00000000" w:rsidDel="00000000" w:rsidP="00000000" w:rsidRDefault="00000000" w:rsidRPr="00000000" w14:paraId="000000A1">
      <w:pPr>
        <w:numPr>
          <w:ilvl w:val="1"/>
          <w:numId w:val="7"/>
        </w:numPr>
        <w:spacing w:line="276" w:lineRule="auto"/>
        <w:ind w:left="144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selección de cadena de búsqueda</w:t>
      </w:r>
      <w:r w:rsidDel="00000000" w:rsidR="00000000" w:rsidRPr="00000000">
        <w:rPr>
          <w:rtl w:val="0"/>
        </w:rPr>
      </w:r>
    </w:p>
    <w:p w:rsidR="00000000" w:rsidDel="00000000" w:rsidP="00000000" w:rsidRDefault="00000000" w:rsidRPr="00000000" w14:paraId="000000A2">
      <w:pPr>
        <w:numPr>
          <w:ilvl w:val="2"/>
          <w:numId w:val="7"/>
        </w:numPr>
        <w:spacing w:line="276" w:lineRule="auto"/>
        <w:ind w:left="216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estrategia - búsqueda automatizada: seleccionar una cadena </w:t>
      </w:r>
    </w:p>
    <w:p w:rsidR="00000000" w:rsidDel="00000000" w:rsidP="00000000" w:rsidRDefault="00000000" w:rsidRPr="00000000" w14:paraId="000000A3">
      <w:pPr>
        <w:numPr>
          <w:ilvl w:val="2"/>
          <w:numId w:val="7"/>
        </w:numPr>
        <w:spacing w:line="276" w:lineRule="auto"/>
        <w:ind w:left="216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quasi gold</w:t>
      </w:r>
    </w:p>
    <w:p w:rsidR="00000000" w:rsidDel="00000000" w:rsidP="00000000" w:rsidRDefault="00000000" w:rsidRPr="00000000" w14:paraId="000000A4">
      <w:pPr>
        <w:numPr>
          <w:ilvl w:val="2"/>
          <w:numId w:val="7"/>
        </w:numPr>
        <w:spacing w:line="276" w:lineRule="auto"/>
        <w:ind w:left="216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recall y esfuerzo/precisión</w:t>
      </w:r>
    </w:p>
    <w:p w:rsidR="00000000" w:rsidDel="00000000" w:rsidP="00000000" w:rsidRDefault="00000000" w:rsidRPr="00000000" w14:paraId="000000A5">
      <w:pPr>
        <w:numPr>
          <w:ilvl w:val="2"/>
          <w:numId w:val="7"/>
        </w:numPr>
        <w:spacing w:line="276" w:lineRule="auto"/>
        <w:ind w:left="216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previo a la elección de muestra, buscar venues (congresos y revistas del tema) que están asociados a los motores de búsqueda establecidos. - </w:t>
      </w:r>
    </w:p>
    <w:p w:rsidR="00000000" w:rsidDel="00000000" w:rsidP="00000000" w:rsidRDefault="00000000" w:rsidRPr="00000000" w14:paraId="000000A6">
      <w:pPr>
        <w:numPr>
          <w:ilvl w:val="2"/>
          <w:numId w:val="7"/>
        </w:numPr>
        <w:spacing w:line="276" w:lineRule="auto"/>
        <w:ind w:left="216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Buscar en motores buscar mediante filtros</w:t>
      </w:r>
    </w:p>
    <w:p w:rsidR="00000000" w:rsidDel="00000000" w:rsidP="00000000" w:rsidRDefault="00000000" w:rsidRPr="00000000" w14:paraId="000000A7">
      <w:pPr>
        <w:numPr>
          <w:ilvl w:val="2"/>
          <w:numId w:val="7"/>
        </w:numPr>
        <w:spacing w:line="276" w:lineRule="auto"/>
        <w:ind w:left="2160" w:hanging="360"/>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los adecuados</w:t>
      </w:r>
    </w:p>
    <w:p w:rsidR="00000000" w:rsidDel="00000000" w:rsidP="00000000" w:rsidRDefault="00000000" w:rsidRPr="00000000" w14:paraId="000000A8">
      <w:pPr>
        <w:numPr>
          <w:ilvl w:val="2"/>
          <w:numId w:val="7"/>
        </w:numPr>
        <w:spacing w:line="276" w:lineRule="auto"/>
        <w:ind w:left="2160" w:hanging="360"/>
        <w:rPr>
          <w:rFonts w:ascii="Gill Sans" w:cs="Gill Sans" w:eastAsia="Gill Sans" w:hAnsi="Gill Sans"/>
          <w:sz w:val="24"/>
          <w:szCs w:val="24"/>
          <w:u w:val="none"/>
        </w:rPr>
      </w:pPr>
      <w:r w:rsidDel="00000000" w:rsidR="00000000" w:rsidRPr="00000000">
        <w:rPr>
          <w:rFonts w:ascii="Gill Sans" w:cs="Gill Sans" w:eastAsia="Gill Sans" w:hAnsi="Gill Sans"/>
          <w:sz w:val="24"/>
          <w:szCs w:val="24"/>
          <w:rtl w:val="0"/>
        </w:rPr>
        <w:t xml:space="preserve">5 a 10 artículos primarios de cada motor de búsqueda que respondan en conjunto a todas las preguntas de investigación propuestas. -</w:t>
      </w:r>
    </w:p>
    <w:p w:rsidR="00000000" w:rsidDel="00000000" w:rsidP="00000000" w:rsidRDefault="00000000" w:rsidRPr="00000000" w14:paraId="000000A9">
      <w:pPr>
        <w:numPr>
          <w:ilvl w:val="2"/>
          <w:numId w:val="7"/>
        </w:numPr>
        <w:spacing w:line="276" w:lineRule="auto"/>
        <w:ind w:left="2160" w:hanging="360"/>
        <w:rPr>
          <w:rFonts w:ascii="Gill Sans" w:cs="Gill Sans" w:eastAsia="Gill Sans" w:hAnsi="Gill Sans"/>
          <w:sz w:val="24"/>
          <w:szCs w:val="24"/>
          <w:u w:val="none"/>
        </w:rPr>
      </w:pPr>
      <w:r w:rsidDel="00000000" w:rsidR="00000000" w:rsidRPr="00000000">
        <w:rPr>
          <w:rFonts w:ascii="Gill Sans" w:cs="Gill Sans" w:eastAsia="Gill Sans" w:hAnsi="Gill Sans"/>
          <w:sz w:val="24"/>
          <w:szCs w:val="24"/>
          <w:rtl w:val="0"/>
        </w:rPr>
        <w:t xml:space="preserve">Tabla Nombre - Conteo de preguntas - Venue - Motor</w:t>
      </w:r>
    </w:p>
    <w:p w:rsidR="00000000" w:rsidDel="00000000" w:rsidP="00000000" w:rsidRDefault="00000000" w:rsidRPr="00000000" w14:paraId="000000AA">
      <w:pPr>
        <w:numPr>
          <w:ilvl w:val="2"/>
          <w:numId w:val="7"/>
        </w:numPr>
        <w:spacing w:line="276" w:lineRule="auto"/>
        <w:ind w:left="2160" w:hanging="360"/>
        <w:rPr>
          <w:rFonts w:ascii="Gill Sans" w:cs="Gill Sans" w:eastAsia="Gill Sans" w:hAnsi="Gill Sans"/>
          <w:sz w:val="24"/>
          <w:szCs w:val="24"/>
          <w:u w:val="none"/>
        </w:rPr>
      </w:pPr>
      <w:r w:rsidDel="00000000" w:rsidR="00000000" w:rsidRPr="00000000">
        <w:rPr>
          <w:rFonts w:ascii="Gill Sans" w:cs="Gill Sans" w:eastAsia="Gill Sans" w:hAnsi="Gill Sans"/>
          <w:sz w:val="24"/>
          <w:szCs w:val="24"/>
          <w:rtl w:val="0"/>
        </w:rPr>
        <w:t xml:space="preserve">Tabla Cobertura: Columna por motor - Columna por pregunta - Porcentaje de artículos que responden la pregunta</w:t>
      </w:r>
    </w:p>
    <w:p w:rsidR="00000000" w:rsidDel="00000000" w:rsidP="00000000" w:rsidRDefault="00000000" w:rsidRPr="00000000" w14:paraId="000000AB">
      <w:pPr>
        <w:numPr>
          <w:ilvl w:val="2"/>
          <w:numId w:val="7"/>
        </w:numPr>
        <w:spacing w:line="276" w:lineRule="auto"/>
        <w:ind w:left="2160" w:hanging="360"/>
        <w:rPr>
          <w:rFonts w:ascii="Gill Sans" w:cs="Gill Sans" w:eastAsia="Gill Sans" w:hAnsi="Gill Sans"/>
          <w:sz w:val="24"/>
          <w:szCs w:val="24"/>
          <w:u w:val="none"/>
        </w:rPr>
      </w:pPr>
      <w:r w:rsidDel="00000000" w:rsidR="00000000" w:rsidRPr="00000000">
        <w:rPr>
          <w:rFonts w:ascii="Gill Sans" w:cs="Gill Sans" w:eastAsia="Gill Sans" w:hAnsi="Gill Sans"/>
          <w:sz w:val="24"/>
          <w:szCs w:val="24"/>
          <w:rtl w:val="0"/>
        </w:rPr>
        <w:t xml:space="preserve">Tabla de cadena: </w:t>
      </w:r>
    </w:p>
    <w:p w:rsidR="00000000" w:rsidDel="00000000" w:rsidP="00000000" w:rsidRDefault="00000000" w:rsidRPr="00000000" w14:paraId="000000AC">
      <w:pPr>
        <w:spacing w:line="276" w:lineRule="auto"/>
        <w:rPr>
          <w:rFonts w:ascii="Gill Sans" w:cs="Gill Sans" w:eastAsia="Gill Sans" w:hAnsi="Gill Sans"/>
          <w:sz w:val="24"/>
          <w:szCs w:val="24"/>
        </w:rPr>
      </w:pPr>
      <w:r w:rsidDel="00000000" w:rsidR="00000000" w:rsidRPr="00000000">
        <w:rPr>
          <w:rtl w:val="0"/>
        </w:rPr>
      </w:r>
    </w:p>
    <w:p w:rsidR="00000000" w:rsidDel="00000000" w:rsidP="00000000" w:rsidRDefault="00000000" w:rsidRPr="00000000" w14:paraId="000000AD">
      <w:pPr>
        <w:spacing w:line="276" w:lineRule="auto"/>
        <w:rPr>
          <w:rFonts w:ascii="Gill Sans" w:cs="Gill Sans" w:eastAsia="Gill Sans" w:hAnsi="Gill Sans"/>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Nombre del artículo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Cantidad de preguntas respondidas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Motor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bl>
    <w:p w:rsidR="00000000" w:rsidDel="00000000" w:rsidP="00000000" w:rsidRDefault="00000000" w:rsidRPr="00000000" w14:paraId="000000C2">
      <w:pPr>
        <w:spacing w:line="276" w:lineRule="auto"/>
        <w:rPr>
          <w:rFonts w:ascii="Gill Sans" w:cs="Gill Sans" w:eastAsia="Gill Sans" w:hAnsi="Gill Sans"/>
          <w:sz w:val="24"/>
          <w:szCs w:val="24"/>
        </w:rPr>
      </w:pPr>
      <w:r w:rsidDel="00000000" w:rsidR="00000000" w:rsidRPr="00000000">
        <w:rPr>
          <w:rtl w:val="0"/>
        </w:rPr>
      </w:r>
    </w:p>
    <w:p w:rsidR="00000000" w:rsidDel="00000000" w:rsidP="00000000" w:rsidRDefault="00000000" w:rsidRPr="00000000" w14:paraId="000000C3">
      <w:pPr>
        <w:spacing w:line="276" w:lineRule="auto"/>
        <w:rPr>
          <w:rFonts w:ascii="Gill Sans" w:cs="Gill Sans" w:eastAsia="Gill Sans" w:hAnsi="Gill Sans"/>
          <w:sz w:val="24"/>
          <w:szCs w:val="24"/>
        </w:rPr>
      </w:pPr>
      <w:r w:rsidDel="00000000" w:rsidR="00000000" w:rsidRPr="00000000">
        <w:rPr>
          <w:rtl w:val="0"/>
        </w:rPr>
      </w:r>
    </w:p>
    <w:tbl>
      <w:tblPr>
        <w:tblStyle w:val="Table6"/>
        <w:tblW w:w="1152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05"/>
        <w:gridCol w:w="1382.9999999999998"/>
        <w:gridCol w:w="1422.0000000000002"/>
        <w:gridCol w:w="1395"/>
        <w:gridCol w:w="1500"/>
        <w:gridCol w:w="1440"/>
        <w:gridCol w:w="1320"/>
        <w:tblGridChange w:id="0">
          <w:tblGrid>
            <w:gridCol w:w="1755"/>
            <w:gridCol w:w="1305"/>
            <w:gridCol w:w="1382.9999999999998"/>
            <w:gridCol w:w="1422.0000000000002"/>
            <w:gridCol w:w="1395"/>
            <w:gridCol w:w="1500"/>
            <w:gridCol w:w="144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Q2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Q7</w:t>
            </w:r>
          </w:p>
        </w:tc>
      </w:tr>
      <w:tr>
        <w:trPr>
          <w:cantSplit w:val="0"/>
          <w:trHeight w:val="528.4687500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rHeight w:val="528.4687500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ACM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rHeight w:val="528.4687500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SpringerLink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rHeight w:val="528.4687500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ScienceDirect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rHeight w:val="528.4687500000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Willey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bl>
    <w:p w:rsidR="00000000" w:rsidDel="00000000" w:rsidP="00000000" w:rsidRDefault="00000000" w:rsidRPr="00000000" w14:paraId="000000F4">
      <w:pPr>
        <w:spacing w:line="276" w:lineRule="auto"/>
        <w:rPr>
          <w:rFonts w:ascii="Gill Sans" w:cs="Gill Sans" w:eastAsia="Gill Sans" w:hAnsi="Gill Sans"/>
          <w:sz w:val="24"/>
          <w:szCs w:val="24"/>
        </w:rPr>
      </w:pPr>
      <w:r w:rsidDel="00000000" w:rsidR="00000000" w:rsidRPr="00000000">
        <w:rPr>
          <w:rtl w:val="0"/>
        </w:rPr>
      </w:r>
    </w:p>
    <w:p w:rsidR="00000000" w:rsidDel="00000000" w:rsidP="00000000" w:rsidRDefault="00000000" w:rsidRPr="00000000" w14:paraId="000000F5">
      <w:pPr>
        <w:spacing w:line="276" w:lineRule="auto"/>
        <w:rPr>
          <w:rFonts w:ascii="Gill Sans" w:cs="Gill Sans" w:eastAsia="Gill Sans" w:hAnsi="Gill Sans"/>
          <w:sz w:val="24"/>
          <w:szCs w:val="24"/>
        </w:rPr>
      </w:pPr>
      <w:r w:rsidDel="00000000" w:rsidR="00000000" w:rsidRPr="00000000">
        <w:rPr>
          <w:rtl w:val="0"/>
        </w:rPr>
      </w:r>
    </w:p>
    <w:p w:rsidR="00000000" w:rsidDel="00000000" w:rsidP="00000000" w:rsidRDefault="00000000" w:rsidRPr="00000000" w14:paraId="000000F6">
      <w:pPr>
        <w:spacing w:line="276" w:lineRule="auto"/>
        <w:rPr>
          <w:rFonts w:ascii="Gill Sans" w:cs="Gill Sans" w:eastAsia="Gill Sans" w:hAnsi="Gill Sans"/>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Fonts w:ascii="Gill Sans" w:cs="Gill Sans" w:eastAsia="Gill Sans" w:hAnsi="Gill Sans"/>
                <w:sz w:val="24"/>
                <w:szCs w:val="24"/>
                <w:rtl w:val="0"/>
              </w:rPr>
              <w:t xml:space="preserve">Término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ill Sans" w:cs="Gill Sans" w:eastAsia="Gill Sans" w:hAnsi="Gill Sans"/>
                <w:sz w:val="24"/>
                <w:szCs w:val="24"/>
              </w:rPr>
            </w:pPr>
            <w:r w:rsidDel="00000000" w:rsidR="00000000" w:rsidRPr="00000000">
              <w:rPr>
                <w:rtl w:val="0"/>
              </w:rPr>
            </w:r>
          </w:p>
        </w:tc>
      </w:tr>
    </w:tbl>
    <w:p w:rsidR="00000000" w:rsidDel="00000000" w:rsidP="00000000" w:rsidRDefault="00000000" w:rsidRPr="00000000" w14:paraId="00000101">
      <w:pPr>
        <w:spacing w:line="276" w:lineRule="auto"/>
        <w:rPr>
          <w:rFonts w:ascii="Gill Sans" w:cs="Gill Sans" w:eastAsia="Gill Sans" w:hAnsi="Gill Sans"/>
          <w:sz w:val="24"/>
          <w:szCs w:val="24"/>
        </w:rPr>
      </w:pPr>
      <w:r w:rsidDel="00000000" w:rsidR="00000000" w:rsidRPr="00000000">
        <w:rPr>
          <w:rtl w:val="0"/>
        </w:rPr>
      </w:r>
    </w:p>
    <w:p w:rsidR="00000000" w:rsidDel="00000000" w:rsidP="00000000" w:rsidRDefault="00000000" w:rsidRPr="00000000" w14:paraId="00000102">
      <w:pPr>
        <w:spacing w:line="276" w:lineRule="auto"/>
        <w:rPr>
          <w:rFonts w:ascii="Gill Sans" w:cs="Gill Sans" w:eastAsia="Gill Sans" w:hAnsi="Gill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JR" w:id="5" w:date="2026-10-01T07:25:13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Revisiones previas</w:t>
      </w:r>
    </w:p>
  </w:comment>
  <w:comment w:author="AJR" w:id="0" w:date="2026-10-01T07:07:59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¿Cuál es el contexto de tu RSL?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qué es importante y que reportara?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Existen revisiones similares? ¿Que agrega la tuya?</w:t>
      </w:r>
    </w:p>
  </w:comment>
  <w:comment w:author="AJR" w:id="13" w:date="2026-09-30T18:57:12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diferencias entre conceptos</w:t>
      </w:r>
    </w:p>
  </w:comment>
  <w:comment w:author="AJR" w:id="14" w:date="2026-10-01T06:48:58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escenarios</w:t>
      </w:r>
    </w:p>
  </w:comment>
  <w:comment w:author="AJR" w:id="15" w:date="2026-10-01T06:52:05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contexto: circunstancias, antecedentes y condiciones que ayudan a entender un hecho.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escenario: una situación concreta que puede ocurrir dentro del contexto.</w:t>
      </w:r>
    </w:p>
  </w:comment>
  <w:comment w:author="AJR" w:id="16" w:date="2026-10-01T06:52:33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rodea al contexto</w:t>
      </w:r>
    </w:p>
  </w:comment>
  <w:comment w:author="AJR" w:id="17" w:date="2026-10-01T06:54:37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limitaciones y compromisos entre seguridad, utilidad, rendimiento, costo o complejidad de implementación han sido reportados para las medidas analizadas?</w:t>
      </w:r>
    </w:p>
  </w:comment>
  <w:comment w:author="AJR" w:id="4" w:date="2026-10-01T07:18:28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w:t>
      </w:r>
    </w:p>
  </w:comment>
  <w:comment w:author="AJR" w:id="1" w:date="2026-10-01T07:12:33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w:t>
      </w:r>
    </w:p>
  </w:comment>
  <w:comment w:author="AJR" w:id="18" w:date="2026-10-01T16:43:48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Analisisi posterior a la revisión</w:t>
      </w:r>
    </w:p>
  </w:comment>
  <w:comment w:author="AJR" w:id="3" w:date="2026-10-01T07:15:41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Problematica</w:t>
      </w:r>
    </w:p>
  </w:comment>
  <w:comment w:author="AJR" w:id="6" w:date="2026-10-01T07:24:0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 con otras revisiones</w:t>
      </w:r>
    </w:p>
  </w:comment>
  <w:comment w:author="AJR" w:id="7" w:date="2026-10-01T07:24:14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resumen de la evidencia existente sobre las medidas de seguridad a nivel de aplicación frente a ataques de inyección de prompt, incluyendo sus mecanismos de funcionamiento, alcances y límites.</w:t>
      </w:r>
    </w:p>
  </w:comment>
  <w:comment w:author="AJR" w:id="2" w:date="2026-10-01T07:12:59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Enfoque</w:t>
      </w:r>
    </w:p>
  </w:comment>
  <w:comment w:author="AJR" w:id="9" w:date="2026-09-30T18:53:37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tipo - categorias</w:t>
      </w:r>
    </w:p>
  </w:comment>
  <w:comment w:author="AJR" w:id="10" w:date="2026-09-30T18:53:5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medida de seguridad</w:t>
      </w:r>
    </w:p>
  </w:comment>
  <w:comment w:author="AJR" w:id="11" w:date="2026-10-01T06:46:45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clasificaciones existen para las medidas de seguridad identificadas de acuerdo con el punto de intervención dentro del sistema basado en LLM?</w:t>
      </w:r>
    </w:p>
  </w:comment>
  <w:comment w:author="AJR" w:id="12" w:date="2026-10-01T06:47:06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pueden clasificarse las medidas de seguridad identificadas de acuerdo con el punto de intervención dentro del sistema basado en LLM?</w:t>
      </w:r>
    </w:p>
  </w:comment>
  <w:comment w:author="AJR" w:id="8" w:date="2026-09-30T18:50:55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que es una medida de seguridad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1109/CASCON66301.2025.00116" TargetMode="External"/><Relationship Id="rId8" Type="http://schemas.openxmlformats.org/officeDocument/2006/relationships/hyperlink" Target="https://doi.org/10.1109/SP61157.2025.002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