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medidas de seguridad a nivel de aplicación han sido propuestas y evaluadas frente a los ataques de inyección de prompt en sistemas basados en LLM, y cuáles son sus principales características, alcances, limitaciones y criterios de evaluación?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Q1. ¿Cuáles son los tipos de inyección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nivel de aplicación en los sistemas basados en LLM?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Q2. ¿Qué medidas de seguridad a nivel de aplicación han sido propuestas en la literatura reciente para reducir los ataques de inyección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sistemas basados en LLM?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Q3. ¿Qué tipo de categorías existen para las medidas de seguridad identificadas de acuerdo con el punto de intervención dentro del sistema basado en LLM? -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Q4. ¿En qué escenarios han sido implementadas las medidas de seguridad identificadas en la literatura?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Q5. ¿Cómo se evalúan las medidas de seguridad para determinar su efectividad contra los ataques de inyección?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Q6. ¿Qué limitaciones y retos han sido reportadas para las medidas de seguridad analizadas contra ataques de inyección de prompt?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Q7. ¿Qué líneas de trabajo futuro permanecen abiertas en la literatura sobre medidas de seguridad a nivel de aplicación frente a ataques de inyección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346uaegpat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IEEE</w:t>
      </w:r>
      <w:r w:rsidDel="00000000" w:rsidR="00000000" w:rsidRPr="00000000">
        <w:rPr>
          <w:rtl w:val="0"/>
        </w:rPr>
      </w:r>
    </w:p>
    <w:tbl>
      <w:tblPr>
        <w:tblStyle w:val="Table1"/>
        <w:tblW w:w="1449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gridCol w:w="3990"/>
        <w:gridCol w:w="3330"/>
        <w:gridCol w:w="1290"/>
        <w:tblGridChange w:id="0">
          <w:tblGrid>
            <w:gridCol w:w="5880"/>
            <w:gridCol w:w="3990"/>
            <w:gridCol w:w="333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preguntas respondidas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Comprehensive Assessment Tool for Prompt Injection Attacks in LLMs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 IEEE 5th International Conference on AI in Cybersecurity (ICAIC)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 Experimental Evaluation of Prompt Injection Attacks on LLM-Based Content Moderation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 12th International Conference on Social Networks Analysis, Management and Security (SNAMS)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DaMiT-SQL: Detecting and Mitigating Text-to-SQL Prompt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 IEEE International Conference on Collaborative Advances in Software and COmputiNg (CASCON)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DataSentinel: A Game-Theoretic Detection of Prompt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 IEEE Symposium on Security and Privacy (SP)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Defending Against Prompt Injection Attacks Using Automatic System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 International Conference on Artificial Intelligence in Information and Communication (ICAIIC)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Evaluating a Multilayered Defense Against Prompt Injection in LLM-Augmented Educational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 IEEE Ural-Siberian Conference on Biomedical Engineering, Radioelectronics and Information Technology (USBEREIT)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PRISM: Prompt Red-teaming and Injection Simulation for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 International Conference on Smart Futuristic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Prevention of Prompt Injection Attacks Over Financial Applications Integrated with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Q3,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 3rd International Conference on Advancement in Computation &amp; Computer Technologies (InCACCT)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Reconstruction-Based Prompt Generation Algorithm for Prompt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20" w:before="22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Q4, Q5, Q6 y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 5th International Conference on Advanced Algorithms and Neural Networks (AANN)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line="36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AI Prompt Injection Attack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Q1,Q2, Q3, Q4, Q5, Q6 y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 International Conference on Emerging Smart Computing and Informatics (ESCI)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793l5gllp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ACM</w:t>
      </w:r>
      <w:r w:rsidDel="00000000" w:rsidR="00000000" w:rsidRPr="00000000">
        <w:rPr>
          <w:rtl w:val="0"/>
        </w:rPr>
      </w:r>
    </w:p>
    <w:tbl>
      <w:tblPr>
        <w:tblStyle w:val="Table2"/>
        <w:tblW w:w="1444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4050"/>
        <w:gridCol w:w="3360"/>
        <w:gridCol w:w="1185"/>
        <w:tblGridChange w:id="0">
          <w:tblGrid>
            <w:gridCol w:w="5850"/>
            <w:gridCol w:w="4050"/>
            <w:gridCol w:w="3360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preguntas que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Benchmarking and Defending against Indirect Prompt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Q4, Q5, 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KDD '25: Proceedings of the 31st ACM SIGKDD Conference on Knowledge Discovery and Data Mining V.1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Critical Evaluation of Defenses against Prompt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Q3, Q5, Q6,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SACMAT '26: Proceedings of the 31st ACM Symposium on Access Control Models and 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Prompt-to-SQL Injections in LLM-Integrated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Applications: Risks and Defenses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Q4,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ICSE '25: Proceedings of the IEEE/ACM 47th International Conference on Software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SecAlign Defending Against Prompt Injection with Preference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Q4,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CCS '25: Proceedings of the 2025 ACM SIGSAC Conference on Computer and Communications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How Not to Detect Prompt Injections with an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Q5, Q6, 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AISec '25: Proceedings of the 18th ACM Workshop on Artificial Intelligence and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Analysis of LLMs Against Prompt Injection and Jailbreak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Q3, 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LM-SHIELD '26: Proceedings of the Workshop on Privacy in Large Language Models (LLM) and Natural Language Processing (NLP)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Optimization-based Prompt Injection Attack to LLM-as-a-Judge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CCS '24: Proceedings of the 2024 on ACM SIGSAC Conference on Computer and Communications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AgentBreaker Evaluating Context-Aware Indirect Prompt Injection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Proceedings of the ACM on Software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Defending Against Prompt Injection With a Few DefensiveTokens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Q2, 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AISec '25: Proceedings of the 18th ACM Workshop on Artificial Intelligence and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line="36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Manipulating Multimodal Agents via Cross-Modal Prompt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Q1, Q2, 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 '25: Proceedings of the 33rd ACM International Conference on Multimedia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ACM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jchhkmxdlox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SpringerLink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3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3735"/>
        <w:gridCol w:w="3225"/>
        <w:gridCol w:w="1710"/>
        <w:tblGridChange w:id="0">
          <w:tblGrid>
            <w:gridCol w:w="5760"/>
            <w:gridCol w:w="3735"/>
            <w:gridCol w:w="322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preguntas que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 Security Testing of System Prompts Against Prompt Injection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 Challenges in Information Science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20th International Conference, RCIS 2026, Toulouse, France, May 26–29, 2026, Proceedings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Bringing the Dual-LLM pattern to practice in Google ADK for deterministic AI agent security against prompt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Artificial Life and Robotics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Defense Against Prompt Injection Attacks via Intention Emphasis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Supported Cooperative Work and Social Computing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20th CCF Conference, ChineseCSCW 2025, Guangzhou, China, November 7–9, 2025, Revised Selected Papers, Part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Detection and analysis of prompt injection in indian multilingual large language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Scientific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Ethical Implications of Prompt Injection in AI-mediated Grading: An Adversarial Red-Team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Journal of Academic Ethics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Exploiting large language models in peer review: indirect prompt injection attacks and integrity probes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Scientometrics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Indirect Prompt Injection Against LLM Copilots in Industrial Control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of Cyber-Secure Critical Infrastructure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International Conference, DCS-CI 2026, Buford, GA, USA, September 2–3, 2026, Proceedings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Indirect prompt injection in large language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Neural Computing and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 Infection: LLM-to-LLM Prompt Injection within Multi-agent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Security. ESORICS 2025 International Workshops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ANUBIS 2025, SECAI 2025, SecAssure 2025, STMUS 2025, Toulouse, France, September 22–24, 2025, Revised Selected Papers, Part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 injection attacks on educational large language models for higher and vocational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Scientific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SpringerLink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spacing w:line="360" w:lineRule="auto"/>
        <w:jc w:val="both"/>
        <w:rPr/>
      </w:pPr>
      <w:bookmarkStart w:colFirst="0" w:colLast="0" w:name="_9v6r4aeullm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ScienceDirect</w:t>
      </w:r>
      <w:r w:rsidDel="00000000" w:rsidR="00000000" w:rsidRPr="00000000">
        <w:rPr>
          <w:rtl w:val="0"/>
        </w:rPr>
      </w:r>
    </w:p>
    <w:tbl>
      <w:tblPr>
        <w:tblStyle w:val="Table4"/>
        <w:tblW w:w="1470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4155"/>
        <w:gridCol w:w="3060"/>
        <w:gridCol w:w="1740"/>
        <w:tblGridChange w:id="0">
          <w:tblGrid>
            <w:gridCol w:w="5745"/>
            <w:gridCol w:w="4155"/>
            <w:gridCol w:w="306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preguntas que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Adversarial Machine Learning Approach on Securing Large Language Model with Vigil, an Open-Source 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CM-PIUG: Cross-modal prompt injection unified modeling and game-theoretic defense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security-centric refactoring of PowerShell commands using large language models: A Python-based framework for cross-language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white-box prompt injection attack on embodied AI agents driven by large language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Evidence-borne prompt injection in LLM-assisted textual evidence triage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Q1, Q2, Q3, 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SpAIware: Uncovering a novel artificial intelligence attack vector through persistent memory in LLM applications and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Q4, 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Simulation of prompt injection attacks on generative pre-trained transformers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Q5, Q6, 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Jailbreak attack with multimodal virtual scenario hypnosis for vision-language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Q3, Q4, Q5, 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ScienceDirect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spacing w:line="360" w:lineRule="auto"/>
        <w:jc w:val="both"/>
        <w:rPr/>
      </w:pPr>
      <w:bookmarkStart w:colFirst="0" w:colLast="0" w:name="_2vcxejt02653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Wiley</w:t>
      </w:r>
      <w:r w:rsidDel="00000000" w:rsidR="00000000" w:rsidRPr="00000000">
        <w:rPr>
          <w:rtl w:val="0"/>
        </w:rPr>
      </w:r>
    </w:p>
    <w:tbl>
      <w:tblPr>
        <w:tblStyle w:val="Table5"/>
        <w:tblW w:w="1443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4155"/>
        <w:gridCol w:w="3285"/>
        <w:gridCol w:w="1245"/>
        <w:tblGridChange w:id="0">
          <w:tblGrid>
            <w:gridCol w:w="5745"/>
            <w:gridCol w:w="4155"/>
            <w:gridCol w:w="328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Cantidad de preguntas que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P7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ACM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SpringerLink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ScienceDirect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Willey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276" w:lineRule="auto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Término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Cosas: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line="276" w:lineRule="auto"/>
        <w:ind w:left="72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Justificación de la revisión, retoma ideas de la problemática y de la justificación -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76" w:lineRule="auto"/>
        <w:ind w:left="72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Cómo será la selección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spacing w:line="276" w:lineRule="auto"/>
        <w:ind w:left="144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definir preguntas de investigación -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spacing w:line="276" w:lineRule="auto"/>
        <w:ind w:left="144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selección de cadena de búsqueda 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estrategia - búsqueda automatizada: seleccionar una cadena 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quasi gold</w:t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recall y esfuerzo/precisión</w:t>
      </w:r>
    </w:p>
    <w:p w:rsidR="00000000" w:rsidDel="00000000" w:rsidP="00000000" w:rsidRDefault="00000000" w:rsidRPr="00000000" w14:paraId="0000010C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previo a la elección de muestra, buscar venues (congresos y revistas del tema) que están asociados a los motores de búsqueda establecidos. - </w:t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Buscar en motores buscar mediante filtros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los adecuados</w:t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5 a 10 artículos primarios de cada motor de búsqueda que respondan en conjunto a todas las preguntas de investigación propuestas. -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Tabla Nombre - Conteo de preguntas - Venue - Motor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Tabla Cobertura: Columna por motor - Columna por pregunta - Porcentaje de artículos que responden la pregunta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line="276" w:lineRule="auto"/>
        <w:ind w:left="2160" w:hanging="360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Gill Sans" w:cs="Gill Sans" w:eastAsia="Gill Sans" w:hAnsi="Gill Sans"/>
          <w:sz w:val="24"/>
          <w:szCs w:val="24"/>
          <w:rtl w:val="0"/>
        </w:rPr>
        <w:t xml:space="preserve">Tabla de cadena: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conceptos que están englobados en las preguntas.</w:t>
      </w:r>
    </w:p>
    <w:p w:rsidR="00000000" w:rsidDel="00000000" w:rsidP="00000000" w:rsidRDefault="00000000" w:rsidRPr="00000000" w14:paraId="00000113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Conceptos globales y secundarios</w:t>
      </w:r>
    </w:p>
    <w:p w:rsidR="00000000" w:rsidDel="00000000" w:rsidP="00000000" w:rsidRDefault="00000000" w:rsidRPr="00000000" w14:paraId="00000114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Términos</w:t>
      </w:r>
    </w:p>
    <w:p w:rsidR="00000000" w:rsidDel="00000000" w:rsidP="00000000" w:rsidRDefault="00000000" w:rsidRPr="00000000" w14:paraId="00000115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Gill Sans" w:cs="Gill Sans" w:eastAsia="Gill Sans" w:hAnsi="Gill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Cadenas preliminares</w:t>
      </w: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