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Interagency Guidance on Leveraged Lending</w:t>
      </w:r>
    </w:p>
    <w:p>
      <w:r>
        <w:t>Office of the Comptroller of the Currency, Board of Governors of the Federal Reserve System, and Federal Deposit Insurance Corporation. Issued March 21, 2013.</w:t>
      </w:r>
    </w:p>
    <w:p>
      <w:pPr>
        <w:pStyle w:val="Heading1"/>
      </w:pPr>
      <w:r>
        <w:t>UNDERWRITING STANDARDS</w:t>
      </w:r>
    </w:p>
    <w:p>
      <w:r>
        <w:t>A leverage level after planned asset sales in excess of 6.0x Total Debt to EBITDA raises concerns for most industries.</w:t>
      </w:r>
    </w:p>
    <w:p>
      <w:r>
        <w:t>Institutions should define leveraged lending in their policies. Common definitional criteria include transactions where the borrower's Total Debt to EBITDA exceeds 4.0x or Senior Debt to EBITDA exceeds 3.0x.</w:t>
      </w:r>
    </w:p>
    <w:p>
      <w:pPr>
        <w:pStyle w:val="Heading1"/>
      </w:pPr>
      <w:r>
        <w:t>REPAYMENT CAPACITY</w:t>
      </w:r>
    </w:p>
    <w:p>
      <w:r>
        <w:t>Base case cash flow projections should show the ability to fully amortize senior secured debt or repay at least 50 percent of total debt over a five to seven years 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