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Credit Policy CP-100</w:t>
      </w:r>
    </w:p>
    <w:p>
      <w:r>
        <w:t>Effective January 1, 2024. Approved by the Board Credit Committee.</w:t>
      </w:r>
    </w:p>
    <w:p>
      <w:pPr>
        <w:pStyle w:val="Heading1"/>
      </w:pPr>
      <w:r>
        <w:t>UNDERWRITING LIMITS</w:t>
      </w:r>
    </w:p>
    <w:p>
      <w:r>
        <w:t>Income-producing commercial real estate loans require a minimum debt service coverage ratio of 1.25x at underwriting.</w:t>
      </w:r>
    </w:p>
    <w:p>
      <w:r>
        <w:t>Commercial real estate loans are subject to a maximum loan-to-value of 75 percent for non-owner-occupied properties.</w:t>
      </w:r>
    </w:p>
    <w:p>
      <w:pPr>
        <w:pStyle w:val="Heading1"/>
      </w:pPr>
      <w:r>
        <w:t>ASSET-BASED LENDING</w:t>
      </w:r>
    </w:p>
    <w:p>
      <w:r>
        <w:t>The maximum advance rate against eligible accounts receivable is 85 percent.</w:t>
      </w:r>
    </w:p>
    <w:p>
      <w:r>
        <w:t>The maximum advance rate against eligible inventory is 60 percent of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