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APPROVAL MEMORANDUM</w:t>
      </w:r>
    </w:p>
    <w:p>
      <w:r>
        <w:t>Borrower: Meridian Fabrication Holdings, LLC</w:t>
      </w:r>
    </w:p>
    <w:p>
      <w:r>
        <w:t>Facility: $25,000,000 senior secured revolving credit facility and $40,000,000 term loan A</w:t>
      </w:r>
    </w:p>
    <w:p>
      <w:r>
        <w:t>Assigned Risk Grade: 4 (Pass)</w:t>
      </w:r>
    </w:p>
    <w:p>
      <w:r>
        <w:t>Guarantor: Mr. Dale Whitfield (founder; personal guaranty, unlimited)</w:t>
      </w:r>
    </w:p>
    <w:p>
      <w:r>
        <w:t>Collateral: Blanket lien on all business assets including accounts receivable, inventory, machinery and equipment</w:t>
      </w:r>
    </w:p>
    <w:p>
      <w:pPr>
        <w:pStyle w:val="Heading1"/>
      </w:pPr>
      <w:r>
        <w:t>FINANCIAL ANALYSIS</w:t>
      </w:r>
    </w:p>
    <w:p>
      <w:r>
        <w:t>At close, Total Debt / EBITDA is 3.8x and Senior Debt / EBITDA is 2.9x based on FY2025 adjusted EBITDA of $17.1 million.</w:t>
      </w:r>
    </w:p>
    <w:p>
      <w:r>
        <w:t>DSCR for FY2025 is 1.42x on a consolidated basis; fixed-charge coverage is 1.25x and interest coverage is 3.6x. The current ratio stands at 1.7x.</w:t>
      </w:r>
    </w:p>
    <w:p>
      <w:r>
        <w:t>Global cash flow including guarantor sources produces a global DSCR of 1.55x.</w:t>
      </w:r>
    </w:p>
    <w:p>
      <w:pPr>
        <w:pStyle w:val="Heading1"/>
      </w:pPr>
      <w:r>
        <w:t>REPAYMENT SOURCES</w:t>
      </w:r>
    </w:p>
    <w:p>
      <w:r>
        <w:t>The primary source of repayment is operating cash flow from the borrower's fabrication contracts. The secondary source of repayment is liquidation of pledged working capital assets under the blanket lien.</w:t>
      </w:r>
    </w:p>
    <w:p>
      <w:r>
        <w:t>The facility is personally guaranteed by Mr. Whitfield, whose net worth is reported at $32 million with liquidity of $4.5 million.</w:t>
      </w:r>
    </w:p>
    <w:p>
      <w:pPr>
        <w:pStyle w:val="Heading1"/>
      </w:pPr>
      <w:r>
        <w:t>COVENANTS</w:t>
      </w:r>
    </w:p>
    <w:p>
      <w:r>
        <w:t>Financial covenants include maximum Total Leverage of 4.5x, minimum DSCR of 1.20x, and minimum tangible net worth of $30 million tested quarterly.</w:t>
      </w:r>
    </w:p>
    <w:p>
      <w:pPr>
        <w:pStyle w:val="Heading1"/>
      </w:pPr>
      <w:r>
        <w:t>PROJECTIONS</w:t>
      </w:r>
    </w:p>
    <w:p>
      <w:r>
        <w:t>Management projections assume revenue growth of 8.0% annually and stable gross margins of 31% through FY2028. Projections reflect no new acquisitions during the forecast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