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9E502" w14:textId="77777777" w:rsidR="00F20EE6" w:rsidRPr="00792C5D" w:rsidRDefault="00F20EE6" w:rsidP="00F20EE6">
      <w:pPr>
        <w:pStyle w:val="1"/>
        <w:ind w:firstLine="600"/>
      </w:pPr>
      <w:r w:rsidRPr="00792C5D">
        <w:rPr>
          <w:rFonts w:hint="eastAsia"/>
        </w:rPr>
        <w:t>主要产品和服务</w:t>
      </w:r>
    </w:p>
    <w:p w14:paraId="0F635A44" w14:textId="77777777" w:rsidR="00F20EE6" w:rsidRPr="00792C5D" w:rsidRDefault="00F20EE6" w:rsidP="00F20EE6">
      <w:pPr>
        <w:ind w:firstLine="420"/>
      </w:pPr>
      <w:r w:rsidRPr="00792C5D">
        <w:rPr>
          <w:rFonts w:hint="eastAsia"/>
        </w:rPr>
        <w:t>1</w:t>
      </w:r>
      <w:r w:rsidRPr="00792C5D">
        <w:rPr>
          <w:rFonts w:hint="eastAsia"/>
        </w:rPr>
        <w:t>、主要产品</w:t>
      </w:r>
    </w:p>
    <w:p w14:paraId="718AA2B0" w14:textId="77777777" w:rsidR="00F20EE6" w:rsidRPr="00792C5D" w:rsidRDefault="00F20EE6" w:rsidP="00F20EE6">
      <w:pPr>
        <w:ind w:firstLine="420"/>
      </w:pPr>
      <w:r w:rsidRPr="00792C5D">
        <w:rPr>
          <w:rFonts w:hint="eastAsia"/>
        </w:rPr>
        <w:t>智能</w:t>
      </w:r>
      <w:proofErr w:type="gramStart"/>
      <w:r w:rsidRPr="00792C5D">
        <w:rPr>
          <w:rFonts w:hint="eastAsia"/>
        </w:rPr>
        <w:t>投顾改变</w:t>
      </w:r>
      <w:proofErr w:type="gramEnd"/>
      <w:r w:rsidRPr="00792C5D">
        <w:rPr>
          <w:rFonts w:hint="eastAsia"/>
        </w:rPr>
        <w:t>了传统的理财顾问的销售模式，利用互联网大数据，对用户行为、市场、产品等进行详细的分析，系统为客户推荐多元化的投资组合，既能避免客户与理财顾问之间可能的利益冲突，也能减少用户的投资理财成本支出，使投资人获得更多的收益。</w:t>
      </w:r>
      <w:proofErr w:type="spellStart"/>
      <w:r w:rsidRPr="00792C5D">
        <w:rPr>
          <w:rFonts w:hint="eastAsia"/>
        </w:rPr>
        <w:t>Wealthfront</w:t>
      </w:r>
      <w:proofErr w:type="spellEnd"/>
      <w:r w:rsidRPr="00792C5D">
        <w:rPr>
          <w:rFonts w:hint="eastAsia"/>
        </w:rPr>
        <w:t>提供的主要产品和服务是自动化的投资组合理财咨询服务，包括为用户开设、管理账户及投资组合的评估。用户能够通过</w:t>
      </w:r>
      <w:proofErr w:type="spellStart"/>
      <w:r w:rsidRPr="00792C5D">
        <w:rPr>
          <w:rFonts w:hint="eastAsia"/>
        </w:rPr>
        <w:t>Wealthfront</w:t>
      </w:r>
      <w:proofErr w:type="spellEnd"/>
      <w:r w:rsidRPr="00792C5D">
        <w:rPr>
          <w:rFonts w:hint="eastAsia"/>
        </w:rPr>
        <w:t>平台投资，标的为</w:t>
      </w:r>
      <w:r w:rsidRPr="00792C5D">
        <w:rPr>
          <w:rFonts w:hint="eastAsia"/>
        </w:rPr>
        <w:t>ETF</w:t>
      </w:r>
      <w:r w:rsidRPr="00792C5D">
        <w:rPr>
          <w:rFonts w:hint="eastAsia"/>
        </w:rPr>
        <w:t>基金。</w:t>
      </w:r>
    </w:p>
    <w:p w14:paraId="6E903EC8" w14:textId="77777777" w:rsidR="00F20EE6" w:rsidRPr="00792C5D" w:rsidRDefault="00F20EE6" w:rsidP="00F20EE6">
      <w:pPr>
        <w:ind w:firstLine="420"/>
      </w:pPr>
      <w:r w:rsidRPr="00792C5D">
        <w:rPr>
          <w:rFonts w:hint="eastAsia"/>
        </w:rPr>
        <w:t>2</w:t>
      </w:r>
      <w:r w:rsidRPr="00792C5D">
        <w:rPr>
          <w:rFonts w:hint="eastAsia"/>
        </w:rPr>
        <w:t>、操作流程</w:t>
      </w:r>
    </w:p>
    <w:p w14:paraId="2EC580CF" w14:textId="77777777" w:rsidR="00F20EE6" w:rsidRPr="00792C5D" w:rsidRDefault="00F20EE6" w:rsidP="00F20EE6">
      <w:pPr>
        <w:ind w:firstLine="420"/>
      </w:pPr>
      <w:r w:rsidRPr="00792C5D">
        <w:rPr>
          <w:rFonts w:hint="eastAsia"/>
        </w:rPr>
        <w:t>受到首席投资官</w:t>
      </w:r>
      <w:r w:rsidRPr="00792C5D">
        <w:rPr>
          <w:rFonts w:hint="eastAsia"/>
        </w:rPr>
        <w:t>Burton</w:t>
      </w:r>
      <w:r w:rsidRPr="00792C5D">
        <w:rPr>
          <w:rFonts w:hint="eastAsia"/>
        </w:rPr>
        <w:t>教授投资理念的影响，</w:t>
      </w:r>
      <w:proofErr w:type="spellStart"/>
      <w:r w:rsidRPr="00792C5D">
        <w:rPr>
          <w:rFonts w:hint="eastAsia"/>
        </w:rPr>
        <w:t>Wealthfront</w:t>
      </w:r>
      <w:proofErr w:type="spellEnd"/>
      <w:r w:rsidRPr="00792C5D">
        <w:rPr>
          <w:rFonts w:hint="eastAsia"/>
        </w:rPr>
        <w:t>采用被动型投资的投资策略。</w:t>
      </w:r>
      <w:r w:rsidRPr="00792C5D">
        <w:rPr>
          <w:rFonts w:hint="eastAsia"/>
          <w:color w:val="2B2B2B"/>
          <w:szCs w:val="21"/>
          <w:shd w:val="clear" w:color="auto" w:fill="FFFFFF"/>
        </w:rPr>
        <w:t>（被动投资策略是指以长期收益和有限管理为出发点来购买投资品种，一般选取特定的指数成分股作为投资的对象，不主动寻求超越市场的表现，而是试图复制指数的表现。与被动投资相对的主动投资策略是指投资者在一定的投资限制和范围内，通过积极的证券选择和时机选择努力寻求最大的投资收益率。）</w:t>
      </w:r>
      <w:r w:rsidRPr="00792C5D">
        <w:rPr>
          <w:rFonts w:hint="eastAsia"/>
        </w:rPr>
        <w:t>对于投资流程，要求用户在注册之前，首先要填写问卷调查，平台根据问卷了解用户的风险偏好，然后推荐量身定制的投资计划。整个操作流程包括</w:t>
      </w:r>
      <w:r w:rsidRPr="00792C5D">
        <w:rPr>
          <w:rFonts w:hint="eastAsia"/>
        </w:rPr>
        <w:t>6</w:t>
      </w:r>
      <w:r w:rsidRPr="00792C5D">
        <w:rPr>
          <w:rFonts w:hint="eastAsia"/>
        </w:rPr>
        <w:t>个主要的步骤：</w:t>
      </w:r>
    </w:p>
    <w:p w14:paraId="69EB4C4E" w14:textId="77777777" w:rsidR="00F20EE6" w:rsidRPr="00792C5D" w:rsidRDefault="00F20EE6" w:rsidP="00F20EE6">
      <w:pPr>
        <w:ind w:firstLine="420"/>
      </w:pPr>
      <w:r w:rsidRPr="00792C5D">
        <w:rPr>
          <w:rFonts w:hint="eastAsia"/>
        </w:rPr>
        <w:t>（</w:t>
      </w:r>
      <w:r w:rsidRPr="00792C5D">
        <w:rPr>
          <w:rFonts w:hint="eastAsia"/>
        </w:rPr>
        <w:t>1</w:t>
      </w:r>
      <w:r w:rsidRPr="00792C5D">
        <w:rPr>
          <w:rFonts w:hint="eastAsia"/>
        </w:rPr>
        <w:t>）风险容忍度评估。用户需要回答一些问题，如下表所示。</w:t>
      </w:r>
    </w:p>
    <w:p w14:paraId="02DB34A4" w14:textId="77777777" w:rsidR="00F20EE6" w:rsidRPr="00792C5D" w:rsidRDefault="00F20EE6" w:rsidP="00F20EE6">
      <w:pPr>
        <w:ind w:firstLine="420"/>
      </w:pPr>
    </w:p>
    <w:p w14:paraId="2E7F2510" w14:textId="77777777" w:rsidR="00F20EE6" w:rsidRPr="00792C5D" w:rsidRDefault="00F20EE6" w:rsidP="00F20EE6">
      <w:pPr>
        <w:pStyle w:val="a7"/>
        <w:keepNext/>
        <w:ind w:firstLine="400"/>
        <w:jc w:val="center"/>
        <w:rPr>
          <w:rFonts w:ascii="Times New Roman" w:hAnsi="Times New Roman"/>
        </w:rPr>
      </w:pPr>
      <w:r w:rsidRPr="00792C5D">
        <w:rPr>
          <w:rFonts w:ascii="Times New Roman" w:hAnsi="Times New Roman" w:hint="eastAsia"/>
        </w:rPr>
        <w:lastRenderedPageBreak/>
        <w:t>表</w:t>
      </w:r>
      <w:r w:rsidRPr="00792C5D">
        <w:rPr>
          <w:rFonts w:ascii="Times New Roman" w:hAnsi="Times New Roman" w:hint="eastAsia"/>
        </w:rPr>
        <w:t xml:space="preserve"> </w:t>
      </w:r>
      <w:r w:rsidRPr="00792C5D">
        <w:rPr>
          <w:rFonts w:ascii="Times New Roman" w:hAnsi="Times New Roman"/>
        </w:rPr>
        <w:fldChar w:fldCharType="begin"/>
      </w:r>
      <w:r w:rsidRPr="00792C5D">
        <w:rPr>
          <w:rFonts w:ascii="Times New Roman" w:hAnsi="Times New Roman"/>
        </w:rPr>
        <w:instrText xml:space="preserve"> </w:instrText>
      </w:r>
      <w:r w:rsidRPr="00792C5D">
        <w:rPr>
          <w:rFonts w:ascii="Times New Roman" w:hAnsi="Times New Roman" w:hint="eastAsia"/>
        </w:rPr>
        <w:instrText xml:space="preserve">SEQ </w:instrText>
      </w:r>
      <w:r w:rsidRPr="00792C5D">
        <w:rPr>
          <w:rFonts w:ascii="Times New Roman" w:hAnsi="Times New Roman" w:hint="eastAsia"/>
        </w:rPr>
        <w:instrText>表</w:instrText>
      </w:r>
      <w:r w:rsidRPr="00792C5D">
        <w:rPr>
          <w:rFonts w:ascii="Times New Roman" w:hAnsi="Times New Roman" w:hint="eastAsia"/>
        </w:rPr>
        <w:instrText xml:space="preserve"> \* ARABIC</w:instrText>
      </w:r>
      <w:r w:rsidRPr="00792C5D">
        <w:rPr>
          <w:rFonts w:ascii="Times New Roman" w:hAnsi="Times New Roman"/>
        </w:rPr>
        <w:instrText xml:space="preserve"> </w:instrText>
      </w:r>
      <w:r w:rsidRPr="00792C5D">
        <w:rPr>
          <w:rFonts w:ascii="Times New Roman" w:hAnsi="Times New Roman"/>
        </w:rPr>
        <w:fldChar w:fldCharType="separate"/>
      </w:r>
      <w:r>
        <w:rPr>
          <w:rFonts w:ascii="Times New Roman" w:hAnsi="Times New Roman"/>
          <w:noProof/>
        </w:rPr>
        <w:t>2</w:t>
      </w:r>
      <w:r w:rsidRPr="00792C5D">
        <w:rPr>
          <w:rFonts w:ascii="Times New Roman" w:hAnsi="Times New Roman"/>
        </w:rPr>
        <w:fldChar w:fldCharType="end"/>
      </w:r>
      <w:r w:rsidRPr="00792C5D">
        <w:rPr>
          <w:rFonts w:ascii="Times New Roman" w:hAnsi="Times New Roman"/>
        </w:rPr>
        <w:t xml:space="preserve"> </w:t>
      </w:r>
      <w:proofErr w:type="spellStart"/>
      <w:r w:rsidRPr="00792C5D">
        <w:rPr>
          <w:rFonts w:ascii="Times New Roman" w:hAnsi="Times New Roman" w:hint="eastAsia"/>
        </w:rPr>
        <w:t>Wealthfront</w:t>
      </w:r>
      <w:proofErr w:type="spellEnd"/>
      <w:r w:rsidRPr="00792C5D">
        <w:rPr>
          <w:rFonts w:ascii="Times New Roman" w:hAnsi="Times New Roman" w:hint="eastAsia"/>
        </w:rPr>
        <w:t>风险容忍度测评的问题</w:t>
      </w:r>
    </w:p>
    <w:p w14:paraId="5EBD941B" w14:textId="77777777" w:rsidR="00F20EE6" w:rsidRPr="00792C5D" w:rsidRDefault="00F20EE6" w:rsidP="00F20EE6">
      <w:pPr>
        <w:ind w:firstLineChars="0" w:firstLine="0"/>
        <w:jc w:val="center"/>
      </w:pPr>
      <w:r w:rsidRPr="00792C5D">
        <w:rPr>
          <w:noProof/>
        </w:rPr>
        <w:drawing>
          <wp:inline distT="0" distB="0" distL="0" distR="0" wp14:anchorId="27345A85" wp14:editId="1E815EA9">
            <wp:extent cx="4953000" cy="3328209"/>
            <wp:effectExtent l="0" t="0" r="0" b="5715"/>
            <wp:docPr id="10" name="图片 10" descr="http://n1.itc.cn/img8/wb/recom/2016/04/05/1459829954065481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n1.itc.cn/img8/wb/recom/2016/04/05/14598299540654817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b="4879"/>
                    <a:stretch/>
                  </pic:blipFill>
                  <pic:spPr bwMode="auto">
                    <a:xfrm>
                      <a:off x="0" y="0"/>
                      <a:ext cx="4958562" cy="3331946"/>
                    </a:xfrm>
                    <a:prstGeom prst="rect">
                      <a:avLst/>
                    </a:prstGeom>
                    <a:noFill/>
                    <a:ln>
                      <a:noFill/>
                    </a:ln>
                    <a:extLst>
                      <a:ext uri="{53640926-AAD7-44D8-BBD7-CCE9431645EC}">
                        <a14:shadowObscured xmlns:a14="http://schemas.microsoft.com/office/drawing/2010/main"/>
                      </a:ext>
                    </a:extLst>
                  </pic:spPr>
                </pic:pic>
              </a:graphicData>
            </a:graphic>
          </wp:inline>
        </w:drawing>
      </w:r>
    </w:p>
    <w:p w14:paraId="29E7B09E" w14:textId="77777777" w:rsidR="00F20EE6" w:rsidRPr="00792C5D" w:rsidRDefault="00F20EE6" w:rsidP="00F20EE6">
      <w:pPr>
        <w:ind w:firstLine="420"/>
      </w:pPr>
      <w:r w:rsidRPr="00792C5D">
        <w:rPr>
          <w:rFonts w:hint="eastAsia"/>
        </w:rPr>
        <w:t>（</w:t>
      </w:r>
      <w:r w:rsidRPr="00792C5D">
        <w:rPr>
          <w:rFonts w:hint="eastAsia"/>
        </w:rPr>
        <w:t>2</w:t>
      </w:r>
      <w:r w:rsidRPr="00792C5D">
        <w:rPr>
          <w:rFonts w:hint="eastAsia"/>
        </w:rPr>
        <w:t>）系统推荐投资计划。投资组合包括两大类：有需要纳税的投资组合（适用个人账户、联合账户、信托账户）和退休金投资组合（适用传统</w:t>
      </w:r>
      <w:r w:rsidRPr="00792C5D">
        <w:rPr>
          <w:rFonts w:hint="eastAsia"/>
        </w:rPr>
        <w:t>IRAs</w:t>
      </w:r>
      <w:r w:rsidRPr="00792C5D">
        <w:rPr>
          <w:rFonts w:hint="eastAsia"/>
        </w:rPr>
        <w:t>账户、</w:t>
      </w:r>
      <w:r w:rsidRPr="00792C5D">
        <w:rPr>
          <w:rFonts w:hint="eastAsia"/>
        </w:rPr>
        <w:t>401</w:t>
      </w:r>
      <w:r w:rsidRPr="00792C5D">
        <w:rPr>
          <w:rFonts w:hint="eastAsia"/>
        </w:rPr>
        <w:t>（</w:t>
      </w:r>
      <w:r w:rsidRPr="00792C5D">
        <w:rPr>
          <w:rFonts w:hint="eastAsia"/>
        </w:rPr>
        <w:t>K</w:t>
      </w:r>
      <w:r w:rsidRPr="00792C5D">
        <w:rPr>
          <w:rFonts w:hint="eastAsia"/>
        </w:rPr>
        <w:t>）</w:t>
      </w:r>
      <w:r w:rsidRPr="00792C5D">
        <w:rPr>
          <w:rFonts w:hint="eastAsia"/>
        </w:rPr>
        <w:t>Rollovers</w:t>
      </w:r>
      <w:r w:rsidRPr="00792C5D">
        <w:rPr>
          <w:rFonts w:hint="eastAsia"/>
        </w:rPr>
        <w:t>账户、</w:t>
      </w:r>
      <w:r w:rsidRPr="00792C5D">
        <w:rPr>
          <w:rFonts w:hint="eastAsia"/>
        </w:rPr>
        <w:t>Roth IRAs</w:t>
      </w:r>
      <w:r w:rsidRPr="00792C5D">
        <w:rPr>
          <w:rFonts w:hint="eastAsia"/>
        </w:rPr>
        <w:t>账户、</w:t>
      </w:r>
      <w:r w:rsidRPr="00792C5D">
        <w:rPr>
          <w:rFonts w:hint="eastAsia"/>
        </w:rPr>
        <w:t>SEP IRAs</w:t>
      </w:r>
      <w:r w:rsidRPr="00792C5D">
        <w:rPr>
          <w:rFonts w:hint="eastAsia"/>
        </w:rPr>
        <w:t>账户），资产类别有十一大类：美股、海外股票、新兴市场股票、股利股票、美国国债、新兴市场债券、美国通胀指数化证券、自然资源、房产、公司债券、市政债券。投资组合的载体为指数基金（</w:t>
      </w:r>
      <w:r w:rsidRPr="00792C5D">
        <w:rPr>
          <w:rFonts w:hint="eastAsia"/>
        </w:rPr>
        <w:t>ETF</w:t>
      </w:r>
      <w:r w:rsidRPr="00792C5D">
        <w:rPr>
          <w:rFonts w:hint="eastAsia"/>
        </w:rPr>
        <w:t>，全称为</w:t>
      </w:r>
      <w:r w:rsidRPr="00792C5D">
        <w:rPr>
          <w:rFonts w:hint="eastAsia"/>
        </w:rPr>
        <w:t>Exchange Traded Fund</w:t>
      </w:r>
      <w:r w:rsidRPr="00792C5D">
        <w:rPr>
          <w:rFonts w:hint="eastAsia"/>
        </w:rPr>
        <w:t>），依据风险容忍度的不同，向投资者推荐的投资计划可能只包括部分类别的资产；</w:t>
      </w:r>
    </w:p>
    <w:p w14:paraId="386F6AF3" w14:textId="77777777" w:rsidR="00F20EE6" w:rsidRPr="00792C5D" w:rsidRDefault="00F20EE6" w:rsidP="00F20EE6">
      <w:pPr>
        <w:keepNext/>
        <w:ind w:firstLineChars="0" w:firstLine="0"/>
      </w:pPr>
      <w:r w:rsidRPr="00792C5D">
        <w:rPr>
          <w:noProof/>
        </w:rPr>
        <w:drawing>
          <wp:inline distT="0" distB="0" distL="0" distR="0" wp14:anchorId="641931AA" wp14:editId="09354895">
            <wp:extent cx="5530850" cy="2494849"/>
            <wp:effectExtent l="0" t="0" r="0" b="1270"/>
            <wp:docPr id="9" name="图片 9" descr="http://n1.itc.cn/img8/wb/recom/2016/04/05/1459829954269645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n1.itc.cn/img8/wb/recom/2016/04/05/145982995426964549.JPEG"/>
                    <pic:cNvPicPr>
                      <a:picLocks noChangeAspect="1" noChangeArrowheads="1"/>
                    </pic:cNvPicPr>
                  </pic:nvPicPr>
                  <pic:blipFill rotWithShape="1">
                    <a:blip r:embed="rId7">
                      <a:extLst>
                        <a:ext uri="{28A0092B-C50C-407E-A947-70E740481C1C}">
                          <a14:useLocalDpi xmlns:a14="http://schemas.microsoft.com/office/drawing/2010/main" val="0"/>
                        </a:ext>
                      </a:extLst>
                    </a:blip>
                    <a:srcRect b="7273"/>
                    <a:stretch/>
                  </pic:blipFill>
                  <pic:spPr bwMode="auto">
                    <a:xfrm>
                      <a:off x="0" y="0"/>
                      <a:ext cx="5533342" cy="249597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2566C60B" w14:textId="77777777" w:rsidR="00F20EE6" w:rsidRPr="00792C5D" w:rsidRDefault="00F20EE6" w:rsidP="00F20EE6">
      <w:pPr>
        <w:pStyle w:val="a7"/>
        <w:ind w:firstLine="400"/>
        <w:jc w:val="center"/>
        <w:rPr>
          <w:rFonts w:ascii="Times New Roman" w:hAnsi="Times New Roman"/>
        </w:rPr>
      </w:pPr>
      <w:r w:rsidRPr="00792C5D">
        <w:rPr>
          <w:rFonts w:ascii="Times New Roman" w:hAnsi="Times New Roman" w:hint="eastAsia"/>
        </w:rPr>
        <w:t>图</w:t>
      </w:r>
      <w:r w:rsidRPr="00792C5D">
        <w:rPr>
          <w:rFonts w:ascii="Times New Roman" w:hAnsi="Times New Roman" w:hint="eastAsia"/>
        </w:rPr>
        <w:t xml:space="preserve"> </w:t>
      </w:r>
      <w:r w:rsidRPr="00792C5D">
        <w:rPr>
          <w:rFonts w:ascii="Times New Roman" w:hAnsi="Times New Roman"/>
        </w:rPr>
        <w:fldChar w:fldCharType="begin"/>
      </w:r>
      <w:r w:rsidRPr="00792C5D">
        <w:rPr>
          <w:rFonts w:ascii="Times New Roman" w:hAnsi="Times New Roman"/>
        </w:rPr>
        <w:instrText xml:space="preserve"> </w:instrText>
      </w:r>
      <w:r w:rsidRPr="00792C5D">
        <w:rPr>
          <w:rFonts w:ascii="Times New Roman" w:hAnsi="Times New Roman" w:hint="eastAsia"/>
        </w:rPr>
        <w:instrText xml:space="preserve">SEQ </w:instrText>
      </w:r>
      <w:r w:rsidRPr="00792C5D">
        <w:rPr>
          <w:rFonts w:ascii="Times New Roman" w:hAnsi="Times New Roman" w:hint="eastAsia"/>
        </w:rPr>
        <w:instrText>图</w:instrText>
      </w:r>
      <w:r w:rsidRPr="00792C5D">
        <w:rPr>
          <w:rFonts w:ascii="Times New Roman" w:hAnsi="Times New Roman" w:hint="eastAsia"/>
        </w:rPr>
        <w:instrText xml:space="preserve"> \* ARABIC</w:instrText>
      </w:r>
      <w:r w:rsidRPr="00792C5D">
        <w:rPr>
          <w:rFonts w:ascii="Times New Roman" w:hAnsi="Times New Roman"/>
        </w:rPr>
        <w:instrText xml:space="preserve"> </w:instrText>
      </w:r>
      <w:r w:rsidRPr="00792C5D">
        <w:rPr>
          <w:rFonts w:ascii="Times New Roman" w:hAnsi="Times New Roman"/>
        </w:rPr>
        <w:fldChar w:fldCharType="separate"/>
      </w:r>
      <w:r w:rsidRPr="00792C5D">
        <w:rPr>
          <w:rFonts w:ascii="Times New Roman" w:hAnsi="Times New Roman"/>
          <w:noProof/>
        </w:rPr>
        <w:t>2</w:t>
      </w:r>
      <w:r w:rsidRPr="00792C5D">
        <w:rPr>
          <w:rFonts w:ascii="Times New Roman" w:hAnsi="Times New Roman"/>
        </w:rPr>
        <w:fldChar w:fldCharType="end"/>
      </w:r>
      <w:r w:rsidRPr="00792C5D">
        <w:rPr>
          <w:rFonts w:ascii="Times New Roman" w:hAnsi="Times New Roman"/>
        </w:rPr>
        <w:t xml:space="preserve"> </w:t>
      </w:r>
      <w:proofErr w:type="spellStart"/>
      <w:r w:rsidRPr="00792C5D">
        <w:rPr>
          <w:rFonts w:ascii="Times New Roman" w:hAnsi="Times New Roman" w:hint="eastAsia"/>
        </w:rPr>
        <w:t>Wealthfront</w:t>
      </w:r>
      <w:proofErr w:type="spellEnd"/>
      <w:r w:rsidRPr="00792C5D">
        <w:rPr>
          <w:rFonts w:ascii="Times New Roman" w:hAnsi="Times New Roman" w:hint="eastAsia"/>
        </w:rPr>
        <w:t>的推荐投资计划网页界面</w:t>
      </w:r>
    </w:p>
    <w:p w14:paraId="72C85EB2" w14:textId="77777777" w:rsidR="00F20EE6" w:rsidRPr="00792C5D" w:rsidRDefault="00F20EE6" w:rsidP="00F20EE6">
      <w:pPr>
        <w:ind w:firstLine="420"/>
      </w:pPr>
      <w:r w:rsidRPr="00792C5D">
        <w:rPr>
          <w:rFonts w:hint="eastAsia"/>
        </w:rPr>
        <w:lastRenderedPageBreak/>
        <w:t>（</w:t>
      </w:r>
      <w:r w:rsidRPr="00792C5D">
        <w:rPr>
          <w:rFonts w:hint="eastAsia"/>
        </w:rPr>
        <w:t>3</w:t>
      </w:r>
      <w:r w:rsidRPr="00792C5D">
        <w:rPr>
          <w:rFonts w:hint="eastAsia"/>
        </w:rPr>
        <w:t>）开户。首先要求用户选择所开账户类型、是否选择避税的工具和方式，然后是填写基本信息、个人信息（如雇佣情况、每年净收入）、排除的股票清单、资金支付方式、检查核对五个小的步骤；在客户开户以后，顾客资金转入名为</w:t>
      </w:r>
      <w:r w:rsidRPr="00792C5D">
        <w:rPr>
          <w:rFonts w:hint="eastAsia"/>
        </w:rPr>
        <w:t>Apex Clearing</w:t>
      </w:r>
      <w:r w:rsidRPr="00792C5D">
        <w:rPr>
          <w:rFonts w:hint="eastAsia"/>
        </w:rPr>
        <w:t>的证券经纪公司进行第三方托管保证资金安全。</w:t>
      </w:r>
    </w:p>
    <w:p w14:paraId="0BE5D68B" w14:textId="77777777" w:rsidR="00F20EE6" w:rsidRPr="00792C5D" w:rsidRDefault="00F20EE6" w:rsidP="00F20EE6">
      <w:pPr>
        <w:ind w:firstLine="420"/>
      </w:pPr>
      <w:r w:rsidRPr="00792C5D">
        <w:rPr>
          <w:rFonts w:hint="eastAsia"/>
        </w:rPr>
        <w:t>（</w:t>
      </w:r>
      <w:r w:rsidRPr="00792C5D">
        <w:rPr>
          <w:rFonts w:hint="eastAsia"/>
        </w:rPr>
        <w:t>4</w:t>
      </w:r>
      <w:r w:rsidRPr="00792C5D">
        <w:rPr>
          <w:rFonts w:hint="eastAsia"/>
        </w:rPr>
        <w:t>）平台代客户向证券经纪公司</w:t>
      </w:r>
      <w:proofErr w:type="spellStart"/>
      <w:r w:rsidRPr="00792C5D">
        <w:rPr>
          <w:rFonts w:hint="eastAsia"/>
        </w:rPr>
        <w:t>ApexClearing</w:t>
      </w:r>
      <w:proofErr w:type="spellEnd"/>
      <w:r w:rsidRPr="00792C5D">
        <w:rPr>
          <w:rFonts w:hint="eastAsia"/>
        </w:rPr>
        <w:t xml:space="preserve"> </w:t>
      </w:r>
      <w:r w:rsidRPr="00792C5D">
        <w:rPr>
          <w:rFonts w:hint="eastAsia"/>
        </w:rPr>
        <w:t>发送交易指令，买卖</w:t>
      </w:r>
      <w:r w:rsidRPr="00792C5D">
        <w:rPr>
          <w:rFonts w:hint="eastAsia"/>
        </w:rPr>
        <w:t>ETF</w:t>
      </w:r>
      <w:r w:rsidRPr="00792C5D">
        <w:rPr>
          <w:rFonts w:hint="eastAsia"/>
        </w:rPr>
        <w:t>；</w:t>
      </w:r>
    </w:p>
    <w:p w14:paraId="0B6439FD" w14:textId="77777777" w:rsidR="00F20EE6" w:rsidRPr="00792C5D" w:rsidRDefault="00F20EE6" w:rsidP="00F20EE6">
      <w:pPr>
        <w:ind w:firstLine="420"/>
      </w:pPr>
      <w:r w:rsidRPr="00792C5D">
        <w:rPr>
          <w:rFonts w:hint="eastAsia"/>
        </w:rPr>
        <w:t>（</w:t>
      </w:r>
      <w:r w:rsidRPr="00792C5D">
        <w:rPr>
          <w:rFonts w:hint="eastAsia"/>
        </w:rPr>
        <w:t>5</w:t>
      </w:r>
      <w:r w:rsidRPr="00792C5D">
        <w:rPr>
          <w:rFonts w:hint="eastAsia"/>
        </w:rPr>
        <w:t>）用户评估、检查自己的投资组合。如果需要变更投资组合，平台会根据用户的需求更新投资组合；</w:t>
      </w:r>
    </w:p>
    <w:p w14:paraId="1F1147D3" w14:textId="77777777" w:rsidR="00F20EE6" w:rsidRPr="00792C5D" w:rsidRDefault="00F20EE6" w:rsidP="00F20EE6">
      <w:pPr>
        <w:ind w:firstLine="420"/>
      </w:pPr>
      <w:r w:rsidRPr="00792C5D">
        <w:rPr>
          <w:rFonts w:hint="eastAsia"/>
        </w:rPr>
        <w:t>（</w:t>
      </w:r>
      <w:r w:rsidRPr="00792C5D">
        <w:rPr>
          <w:rFonts w:hint="eastAsia"/>
        </w:rPr>
        <w:t>6</w:t>
      </w:r>
      <w:r w:rsidRPr="00792C5D">
        <w:rPr>
          <w:rFonts w:hint="eastAsia"/>
        </w:rPr>
        <w:t>）平台获得佣金。自用户开户之日起的下一个月，每月第一个工作日收取账户余额扣除</w:t>
      </w:r>
      <w:r w:rsidRPr="00792C5D">
        <w:rPr>
          <w:rFonts w:hint="eastAsia"/>
        </w:rPr>
        <w:t xml:space="preserve"> 10000</w:t>
      </w:r>
      <w:r w:rsidRPr="00792C5D">
        <w:rPr>
          <w:rFonts w:hint="eastAsia"/>
        </w:rPr>
        <w:t>美元之后的</w:t>
      </w:r>
      <w:r w:rsidRPr="00792C5D">
        <w:rPr>
          <w:rFonts w:hint="eastAsia"/>
        </w:rPr>
        <w:t>0.25%</w:t>
      </w:r>
      <w:r w:rsidRPr="00792C5D">
        <w:rPr>
          <w:rFonts w:hint="eastAsia"/>
        </w:rPr>
        <w:t>的佣金。</w:t>
      </w:r>
    </w:p>
    <w:p w14:paraId="74FD23DE" w14:textId="77777777" w:rsidR="00F20EE6" w:rsidRPr="00792C5D" w:rsidRDefault="00F20EE6" w:rsidP="00F20EE6">
      <w:pPr>
        <w:keepNext/>
        <w:ind w:firstLine="420"/>
      </w:pPr>
      <w:r w:rsidRPr="00792C5D">
        <w:rPr>
          <w:rFonts w:hint="eastAsia"/>
          <w:noProof/>
        </w:rPr>
        <w:drawing>
          <wp:inline distT="0" distB="0" distL="0" distR="0" wp14:anchorId="6AB4E3F7" wp14:editId="389A60EF">
            <wp:extent cx="5274310" cy="1714500"/>
            <wp:effectExtent l="38100" t="0" r="5969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E560106" w14:textId="77777777" w:rsidR="00F20EE6" w:rsidRPr="00792C5D" w:rsidRDefault="00F20EE6" w:rsidP="00F20EE6">
      <w:pPr>
        <w:pStyle w:val="a7"/>
        <w:ind w:firstLine="400"/>
        <w:jc w:val="center"/>
        <w:rPr>
          <w:rFonts w:ascii="Times New Roman" w:hAnsi="Times New Roman"/>
        </w:rPr>
      </w:pPr>
      <w:r w:rsidRPr="00792C5D">
        <w:rPr>
          <w:rFonts w:ascii="Times New Roman" w:hAnsi="Times New Roman" w:hint="eastAsia"/>
        </w:rPr>
        <w:t>图</w:t>
      </w:r>
      <w:r w:rsidRPr="00792C5D">
        <w:rPr>
          <w:rFonts w:ascii="Times New Roman" w:hAnsi="Times New Roman" w:hint="eastAsia"/>
        </w:rPr>
        <w:t xml:space="preserve"> </w:t>
      </w:r>
      <w:r w:rsidRPr="00792C5D">
        <w:rPr>
          <w:rFonts w:ascii="Times New Roman" w:hAnsi="Times New Roman"/>
        </w:rPr>
        <w:fldChar w:fldCharType="begin"/>
      </w:r>
      <w:r w:rsidRPr="00792C5D">
        <w:rPr>
          <w:rFonts w:ascii="Times New Roman" w:hAnsi="Times New Roman"/>
        </w:rPr>
        <w:instrText xml:space="preserve"> </w:instrText>
      </w:r>
      <w:r w:rsidRPr="00792C5D">
        <w:rPr>
          <w:rFonts w:ascii="Times New Roman" w:hAnsi="Times New Roman" w:hint="eastAsia"/>
        </w:rPr>
        <w:instrText xml:space="preserve">SEQ </w:instrText>
      </w:r>
      <w:r w:rsidRPr="00792C5D">
        <w:rPr>
          <w:rFonts w:ascii="Times New Roman" w:hAnsi="Times New Roman" w:hint="eastAsia"/>
        </w:rPr>
        <w:instrText>图</w:instrText>
      </w:r>
      <w:r w:rsidRPr="00792C5D">
        <w:rPr>
          <w:rFonts w:ascii="Times New Roman" w:hAnsi="Times New Roman" w:hint="eastAsia"/>
        </w:rPr>
        <w:instrText xml:space="preserve"> \* ARABIC</w:instrText>
      </w:r>
      <w:r w:rsidRPr="00792C5D">
        <w:rPr>
          <w:rFonts w:ascii="Times New Roman" w:hAnsi="Times New Roman"/>
        </w:rPr>
        <w:instrText xml:space="preserve"> </w:instrText>
      </w:r>
      <w:r w:rsidRPr="00792C5D">
        <w:rPr>
          <w:rFonts w:ascii="Times New Roman" w:hAnsi="Times New Roman"/>
        </w:rPr>
        <w:fldChar w:fldCharType="separate"/>
      </w:r>
      <w:r w:rsidRPr="00792C5D">
        <w:rPr>
          <w:rFonts w:ascii="Times New Roman" w:hAnsi="Times New Roman"/>
          <w:noProof/>
        </w:rPr>
        <w:t>3</w:t>
      </w:r>
      <w:r w:rsidRPr="00792C5D">
        <w:rPr>
          <w:rFonts w:ascii="Times New Roman" w:hAnsi="Times New Roman"/>
        </w:rPr>
        <w:fldChar w:fldCharType="end"/>
      </w:r>
      <w:r w:rsidRPr="00792C5D">
        <w:rPr>
          <w:rFonts w:ascii="Times New Roman" w:hAnsi="Times New Roman"/>
        </w:rPr>
        <w:t xml:space="preserve"> </w:t>
      </w:r>
      <w:proofErr w:type="spellStart"/>
      <w:r w:rsidRPr="00792C5D">
        <w:rPr>
          <w:rFonts w:ascii="Times New Roman" w:hAnsi="Times New Roman" w:hint="eastAsia"/>
        </w:rPr>
        <w:t>Wealthfront</w:t>
      </w:r>
      <w:proofErr w:type="spellEnd"/>
      <w:r w:rsidRPr="00792C5D">
        <w:rPr>
          <w:rFonts w:ascii="Times New Roman" w:hAnsi="Times New Roman" w:hint="eastAsia"/>
        </w:rPr>
        <w:t>运营流程</w:t>
      </w:r>
    </w:p>
    <w:p w14:paraId="347202F2" w14:textId="77777777" w:rsidR="00F20EE6" w:rsidRPr="00792C5D" w:rsidRDefault="00F20EE6" w:rsidP="00F20EE6">
      <w:pPr>
        <w:ind w:firstLine="420"/>
      </w:pPr>
      <w:proofErr w:type="spellStart"/>
      <w:r w:rsidRPr="00792C5D">
        <w:rPr>
          <w:rFonts w:hint="eastAsia"/>
        </w:rPr>
        <w:t>Wealthfront</w:t>
      </w:r>
      <w:proofErr w:type="spellEnd"/>
      <w:r w:rsidRPr="00792C5D">
        <w:rPr>
          <w:rFonts w:hint="eastAsia"/>
        </w:rPr>
        <w:t>利用现代投资组合理论（</w:t>
      </w:r>
      <w:r w:rsidRPr="00792C5D">
        <w:rPr>
          <w:rFonts w:hint="eastAsia"/>
        </w:rPr>
        <w:t>MPT</w:t>
      </w:r>
      <w:r w:rsidRPr="00792C5D">
        <w:rPr>
          <w:rFonts w:hint="eastAsia"/>
        </w:rPr>
        <w:t>，</w:t>
      </w:r>
      <w:r w:rsidRPr="00792C5D">
        <w:rPr>
          <w:rFonts w:hint="eastAsia"/>
        </w:rPr>
        <w:t>Modern Portfolio Theory</w:t>
      </w:r>
      <w:r w:rsidRPr="00792C5D">
        <w:rPr>
          <w:rFonts w:hint="eastAsia"/>
        </w:rPr>
        <w:t>）为用户推荐投资组合，该理论是诺贝尔经济学奖得主马克维茨和</w:t>
      </w:r>
      <w:proofErr w:type="gramStart"/>
      <w:r w:rsidRPr="00792C5D">
        <w:rPr>
          <w:rFonts w:hint="eastAsia"/>
        </w:rPr>
        <w:t>威廉</w:t>
      </w:r>
      <w:proofErr w:type="gramEnd"/>
      <w:r w:rsidRPr="00792C5D">
        <w:rPr>
          <w:rFonts w:hint="eastAsia"/>
        </w:rPr>
        <w:t>夏普创造的理论，通过分散的投资组合在降低风险的同时不会降低预期收益率，投资者能够在同样的风险水平上获得更高的收益率</w:t>
      </w:r>
      <w:r w:rsidRPr="00792C5D">
        <w:rPr>
          <w:rFonts w:hint="eastAsia"/>
        </w:rPr>
        <w:t xml:space="preserve"> </w:t>
      </w:r>
      <w:r w:rsidRPr="00792C5D">
        <w:rPr>
          <w:rFonts w:hint="eastAsia"/>
        </w:rPr>
        <w:t>，或者在同样收益率水平上承受更低的风险。平台选择的资产种类多达</w:t>
      </w:r>
      <w:r w:rsidRPr="00792C5D">
        <w:rPr>
          <w:rFonts w:hint="eastAsia"/>
        </w:rPr>
        <w:t>11</w:t>
      </w:r>
      <w:r w:rsidRPr="00792C5D">
        <w:rPr>
          <w:rFonts w:hint="eastAsia"/>
        </w:rPr>
        <w:t>类，一方面有利于提高分散化程度，降低风险；另一方面具有不同资产的特性能为用户提供更多的资产组合选择，满足更多风险偏好类型用户的需求。</w:t>
      </w:r>
    </w:p>
    <w:p w14:paraId="14E7C77F" w14:textId="77777777" w:rsidR="00F20EE6" w:rsidRPr="00792C5D" w:rsidRDefault="00F20EE6" w:rsidP="00F20EE6">
      <w:pPr>
        <w:ind w:firstLine="420"/>
      </w:pPr>
      <w:r w:rsidRPr="00792C5D">
        <w:t>至于资金来源</w:t>
      </w:r>
      <w:r w:rsidRPr="00792C5D">
        <w:rPr>
          <w:rFonts w:hint="eastAsia"/>
        </w:rPr>
        <w:t>，一般的理财平台只能用现金进行投资，</w:t>
      </w:r>
      <w:proofErr w:type="spellStart"/>
      <w:r w:rsidRPr="00792C5D">
        <w:rPr>
          <w:rFonts w:hint="eastAsia"/>
        </w:rPr>
        <w:t>Wealthfront</w:t>
      </w:r>
      <w:proofErr w:type="spellEnd"/>
      <w:r w:rsidRPr="00792C5D">
        <w:rPr>
          <w:rFonts w:hint="eastAsia"/>
        </w:rPr>
        <w:t>为客户提供了除了现金之外的另一种选择：股票。这就是单只股票分散投资服务（</w:t>
      </w:r>
      <w:r w:rsidRPr="00792C5D">
        <w:rPr>
          <w:rFonts w:hint="eastAsia"/>
        </w:rPr>
        <w:t xml:space="preserve">Single-Stock Diversification </w:t>
      </w:r>
      <w:r w:rsidRPr="00792C5D">
        <w:rPr>
          <w:rFonts w:hint="eastAsia"/>
        </w:rPr>
        <w:lastRenderedPageBreak/>
        <w:t>Service</w:t>
      </w:r>
      <w:r w:rsidRPr="00792C5D">
        <w:rPr>
          <w:rFonts w:hint="eastAsia"/>
        </w:rPr>
        <w:t>，具体阐述见下）。</w:t>
      </w:r>
    </w:p>
    <w:p w14:paraId="1ADD14DA" w14:textId="77777777" w:rsidR="00F20EE6" w:rsidRPr="00792C5D" w:rsidRDefault="00F20EE6" w:rsidP="00F20EE6">
      <w:pPr>
        <w:ind w:firstLine="420"/>
      </w:pPr>
      <w:r w:rsidRPr="00792C5D">
        <w:rPr>
          <w:rFonts w:hint="eastAsia"/>
        </w:rPr>
        <w:t>3</w:t>
      </w:r>
      <w:r w:rsidRPr="00792C5D">
        <w:rPr>
          <w:rFonts w:hint="eastAsia"/>
        </w:rPr>
        <w:t>、其他服务</w:t>
      </w:r>
    </w:p>
    <w:p w14:paraId="2E75AE23" w14:textId="77777777" w:rsidR="00F20EE6" w:rsidRPr="00792C5D" w:rsidRDefault="00F20EE6" w:rsidP="00F20EE6">
      <w:pPr>
        <w:ind w:firstLine="420"/>
      </w:pPr>
      <w:proofErr w:type="spellStart"/>
      <w:r w:rsidRPr="00792C5D">
        <w:rPr>
          <w:rFonts w:hint="eastAsia"/>
        </w:rPr>
        <w:t>Wealthfront</w:t>
      </w:r>
      <w:proofErr w:type="spellEnd"/>
      <w:r w:rsidRPr="00792C5D">
        <w:rPr>
          <w:rFonts w:hint="eastAsia"/>
        </w:rPr>
        <w:t>提供的其他服务包括：税收损失收割（</w:t>
      </w:r>
      <w:r w:rsidRPr="00792C5D">
        <w:rPr>
          <w:rFonts w:hint="eastAsia"/>
        </w:rPr>
        <w:t>Tax-loss Harvesting</w:t>
      </w:r>
      <w:r w:rsidRPr="00792C5D">
        <w:rPr>
          <w:rFonts w:hint="eastAsia"/>
        </w:rPr>
        <w:t>）、税收优化直接指数化（</w:t>
      </w:r>
      <w:r w:rsidRPr="00792C5D">
        <w:rPr>
          <w:rFonts w:hint="eastAsia"/>
        </w:rPr>
        <w:t>Tax-Optimized Direct Indexing</w:t>
      </w:r>
      <w:r w:rsidRPr="00792C5D">
        <w:rPr>
          <w:rFonts w:hint="eastAsia"/>
        </w:rPr>
        <w:t>）、单只股票分散投资服务（</w:t>
      </w:r>
      <w:r w:rsidRPr="00792C5D">
        <w:rPr>
          <w:rFonts w:hint="eastAsia"/>
        </w:rPr>
        <w:t>Single-Stock Diversification Service</w:t>
      </w:r>
      <w:r w:rsidRPr="00792C5D">
        <w:rPr>
          <w:rFonts w:hint="eastAsia"/>
        </w:rPr>
        <w:t>）。</w:t>
      </w:r>
    </w:p>
    <w:p w14:paraId="73A63E5E" w14:textId="77777777" w:rsidR="00F20EE6" w:rsidRPr="00792C5D" w:rsidRDefault="00F20EE6" w:rsidP="00F20EE6">
      <w:pPr>
        <w:ind w:firstLine="420"/>
      </w:pPr>
      <w:r w:rsidRPr="00792C5D">
        <w:rPr>
          <w:rFonts w:hint="eastAsia"/>
        </w:rPr>
        <w:t>税收损失收割即将当期亏损的证券卖出，用已经确认的损失来抵扣所获投资收益的应交税款（主要是资本利得税），投资者可以将这些节省的税款再投资，从而使得投资者税后收入最大化。该项服务是依靠平台开发的软件来实现的，以往只是服务于账户金额超过</w:t>
      </w:r>
      <w:r w:rsidRPr="00792C5D">
        <w:rPr>
          <w:rFonts w:hint="eastAsia"/>
        </w:rPr>
        <w:t>500</w:t>
      </w:r>
      <w:r w:rsidRPr="00792C5D">
        <w:rPr>
          <w:rFonts w:hint="eastAsia"/>
        </w:rPr>
        <w:t>万美元的用户，现在所有纳税账户的用户都可以使用。</w:t>
      </w:r>
      <w:proofErr w:type="spellStart"/>
      <w:r w:rsidRPr="00792C5D">
        <w:rPr>
          <w:rFonts w:hint="eastAsia"/>
        </w:rPr>
        <w:t>Wealthfront</w:t>
      </w:r>
      <w:proofErr w:type="spellEnd"/>
      <w:r w:rsidRPr="00792C5D">
        <w:rPr>
          <w:rFonts w:hint="eastAsia"/>
        </w:rPr>
        <w:t>为用户提供两种税收损失收割服务：每日税收损失收割（</w:t>
      </w:r>
      <w:r w:rsidRPr="00792C5D">
        <w:rPr>
          <w:rFonts w:hint="eastAsia"/>
        </w:rPr>
        <w:t>Daily Tax-Loss Harvesting</w:t>
      </w:r>
      <w:r w:rsidRPr="00792C5D">
        <w:rPr>
          <w:rFonts w:hint="eastAsia"/>
        </w:rPr>
        <w:t>）和税收优化直接指数化（</w:t>
      </w:r>
      <w:r w:rsidRPr="00792C5D">
        <w:rPr>
          <w:rFonts w:hint="eastAsia"/>
        </w:rPr>
        <w:t>Tax-Optimized Direct Indexing</w:t>
      </w:r>
      <w:r w:rsidRPr="00792C5D">
        <w:rPr>
          <w:rFonts w:hint="eastAsia"/>
        </w:rPr>
        <w:t>），前者要求用户至少投资</w:t>
      </w:r>
      <w:r w:rsidRPr="00792C5D">
        <w:rPr>
          <w:rFonts w:hint="eastAsia"/>
        </w:rPr>
        <w:t>10</w:t>
      </w:r>
      <w:r w:rsidRPr="00792C5D">
        <w:rPr>
          <w:rFonts w:hint="eastAsia"/>
        </w:rPr>
        <w:t>万美元，后者要求用户至少投资</w:t>
      </w:r>
      <w:r w:rsidRPr="00792C5D">
        <w:rPr>
          <w:rFonts w:hint="eastAsia"/>
        </w:rPr>
        <w:t>50</w:t>
      </w:r>
      <w:r w:rsidRPr="00792C5D">
        <w:rPr>
          <w:rFonts w:hint="eastAsia"/>
        </w:rPr>
        <w:t>万美元。对于每日税收损失收割，平台系统审视市场上所有的</w:t>
      </w:r>
      <w:r w:rsidRPr="00792C5D">
        <w:rPr>
          <w:rFonts w:hint="eastAsia"/>
        </w:rPr>
        <w:t>ETF</w:t>
      </w:r>
      <w:r w:rsidRPr="00792C5D">
        <w:rPr>
          <w:rFonts w:hint="eastAsia"/>
        </w:rPr>
        <w:t>来抓住收割机会。用户在享受税收损失收割服务时，需要做到以下</w:t>
      </w:r>
      <w:r w:rsidRPr="00792C5D">
        <w:rPr>
          <w:rFonts w:hint="eastAsia"/>
        </w:rPr>
        <w:t>4</w:t>
      </w:r>
      <w:r w:rsidRPr="00792C5D">
        <w:rPr>
          <w:rFonts w:hint="eastAsia"/>
        </w:rPr>
        <w:t>点：</w:t>
      </w:r>
    </w:p>
    <w:p w14:paraId="4BB38B31" w14:textId="77777777" w:rsidR="00F20EE6" w:rsidRPr="00792C5D" w:rsidRDefault="00F20EE6" w:rsidP="00F20EE6">
      <w:pPr>
        <w:ind w:firstLine="420"/>
      </w:pPr>
      <w:r w:rsidRPr="00792C5D">
        <w:rPr>
          <w:rFonts w:hint="eastAsia"/>
        </w:rPr>
        <w:t>（</w:t>
      </w:r>
      <w:r w:rsidRPr="00792C5D">
        <w:rPr>
          <w:rFonts w:hint="eastAsia"/>
        </w:rPr>
        <w:t>1</w:t>
      </w:r>
      <w:r w:rsidRPr="00792C5D">
        <w:rPr>
          <w:rFonts w:hint="eastAsia"/>
        </w:rPr>
        <w:t>）理解美国税务局的洗售规则（</w:t>
      </w:r>
      <w:r w:rsidRPr="00792C5D">
        <w:rPr>
          <w:rFonts w:hint="eastAsia"/>
        </w:rPr>
        <w:t>wash sale rule</w:t>
      </w:r>
      <w:r w:rsidRPr="00792C5D">
        <w:rPr>
          <w:rFonts w:hint="eastAsia"/>
        </w:rPr>
        <w:t>），并且不违反该规则。所谓</w:t>
      </w:r>
      <w:proofErr w:type="gramStart"/>
      <w:r w:rsidRPr="00792C5D">
        <w:rPr>
          <w:rFonts w:hint="eastAsia"/>
        </w:rPr>
        <w:t>洗售即投资者</w:t>
      </w:r>
      <w:proofErr w:type="gramEnd"/>
      <w:r w:rsidRPr="00792C5D">
        <w:rPr>
          <w:rFonts w:hint="eastAsia"/>
        </w:rPr>
        <w:t>卖出亏损的证券，但是投资者及其家属、退休金账户在投资者卖出证券前后</w:t>
      </w:r>
      <w:r w:rsidRPr="00792C5D">
        <w:rPr>
          <w:rFonts w:hint="eastAsia"/>
        </w:rPr>
        <w:t>30</w:t>
      </w:r>
      <w:r w:rsidRPr="00792C5D">
        <w:rPr>
          <w:rFonts w:hint="eastAsia"/>
        </w:rPr>
        <w:t>天内买入同一只或者实质上一样的证券。</w:t>
      </w:r>
      <w:proofErr w:type="spellStart"/>
      <w:r w:rsidRPr="00792C5D">
        <w:rPr>
          <w:rFonts w:hint="eastAsia"/>
        </w:rPr>
        <w:t>Wealthfront</w:t>
      </w:r>
      <w:proofErr w:type="spellEnd"/>
      <w:r w:rsidRPr="00792C5D">
        <w:rPr>
          <w:rFonts w:hint="eastAsia"/>
        </w:rPr>
        <w:t>建立了系统来特别跟踪用户的投资组合，并依据该规则向用户建议哪些证券可以买卖，但是用户理解该规则是非常重要的；</w:t>
      </w:r>
    </w:p>
    <w:p w14:paraId="41EFB822" w14:textId="77777777" w:rsidR="00F20EE6" w:rsidRPr="00792C5D" w:rsidRDefault="00F20EE6" w:rsidP="00F20EE6">
      <w:pPr>
        <w:ind w:firstLine="420"/>
      </w:pPr>
      <w:r w:rsidRPr="00792C5D">
        <w:rPr>
          <w:rFonts w:hint="eastAsia"/>
        </w:rPr>
        <w:t>（</w:t>
      </w:r>
      <w:r w:rsidRPr="00792C5D">
        <w:rPr>
          <w:rFonts w:hint="eastAsia"/>
        </w:rPr>
        <w:t>2</w:t>
      </w:r>
      <w:r w:rsidRPr="00792C5D">
        <w:rPr>
          <w:rFonts w:hint="eastAsia"/>
        </w:rPr>
        <w:t>）每日监控投资组合，以避免错失收割机会；</w:t>
      </w:r>
    </w:p>
    <w:p w14:paraId="2477C852" w14:textId="77777777" w:rsidR="00F20EE6" w:rsidRPr="00792C5D" w:rsidRDefault="00F20EE6" w:rsidP="00F20EE6">
      <w:pPr>
        <w:ind w:firstLine="420"/>
      </w:pPr>
      <w:r w:rsidRPr="00792C5D">
        <w:rPr>
          <w:rFonts w:hint="eastAsia"/>
        </w:rPr>
        <w:t>（</w:t>
      </w:r>
      <w:r w:rsidRPr="00792C5D">
        <w:rPr>
          <w:rFonts w:hint="eastAsia"/>
        </w:rPr>
        <w:t>3</w:t>
      </w:r>
      <w:r w:rsidRPr="00792C5D">
        <w:rPr>
          <w:rFonts w:hint="eastAsia"/>
        </w:rPr>
        <w:t>）将税收损失收割纳入用户的整体投资策略中，包括储蓄、取款、再平衡、股息再投资等，所有这些交易都需要遵守洗售规则；</w:t>
      </w:r>
    </w:p>
    <w:p w14:paraId="224CAEB5" w14:textId="77777777" w:rsidR="00F20EE6" w:rsidRPr="00792C5D" w:rsidRDefault="00F20EE6" w:rsidP="00F20EE6">
      <w:pPr>
        <w:ind w:firstLine="420"/>
      </w:pPr>
      <w:r w:rsidRPr="00792C5D">
        <w:rPr>
          <w:rFonts w:hint="eastAsia"/>
        </w:rPr>
        <w:t>（</w:t>
      </w:r>
      <w:r w:rsidRPr="00792C5D">
        <w:rPr>
          <w:rFonts w:hint="eastAsia"/>
        </w:rPr>
        <w:t>4</w:t>
      </w:r>
      <w:r w:rsidRPr="00792C5D">
        <w:rPr>
          <w:rFonts w:hint="eastAsia"/>
        </w:rPr>
        <w:t>）跟踪投资组合中每只股票的购买价格，这对于收割机会非常关键。</w:t>
      </w:r>
    </w:p>
    <w:p w14:paraId="72D72314" w14:textId="77777777" w:rsidR="00F20EE6" w:rsidRPr="00792C5D" w:rsidRDefault="00F20EE6" w:rsidP="00F20EE6">
      <w:pPr>
        <w:ind w:firstLine="420"/>
      </w:pPr>
      <w:r w:rsidRPr="00792C5D">
        <w:rPr>
          <w:rFonts w:hint="eastAsia"/>
        </w:rPr>
        <w:t>通常情况下，每日税收损失收割能为用户增加约</w:t>
      </w:r>
      <w:r w:rsidRPr="00792C5D">
        <w:rPr>
          <w:rFonts w:hint="eastAsia"/>
        </w:rPr>
        <w:t>1%</w:t>
      </w:r>
      <w:r w:rsidRPr="00792C5D">
        <w:rPr>
          <w:rFonts w:hint="eastAsia"/>
        </w:rPr>
        <w:t>的投资回报，</w:t>
      </w:r>
      <w:proofErr w:type="spellStart"/>
      <w:r w:rsidRPr="00792C5D">
        <w:rPr>
          <w:rFonts w:hint="eastAsia"/>
        </w:rPr>
        <w:t>Wealthfront</w:t>
      </w:r>
      <w:proofErr w:type="spellEnd"/>
      <w:r w:rsidRPr="00792C5D">
        <w:rPr>
          <w:rFonts w:hint="eastAsia"/>
        </w:rPr>
        <w:t>对</w:t>
      </w:r>
      <w:r w:rsidRPr="00792C5D">
        <w:rPr>
          <w:rFonts w:hint="eastAsia"/>
        </w:rPr>
        <w:t>2000</w:t>
      </w:r>
      <w:r w:rsidRPr="00792C5D">
        <w:rPr>
          <w:rFonts w:hint="eastAsia"/>
        </w:rPr>
        <w:t>年</w:t>
      </w:r>
      <w:r w:rsidRPr="00792C5D">
        <w:rPr>
          <w:rFonts w:hint="eastAsia"/>
        </w:rPr>
        <w:lastRenderedPageBreak/>
        <w:t>至</w:t>
      </w:r>
      <w:r w:rsidRPr="00792C5D">
        <w:rPr>
          <w:rFonts w:hint="eastAsia"/>
        </w:rPr>
        <w:t>2013</w:t>
      </w:r>
      <w:r w:rsidRPr="00792C5D">
        <w:rPr>
          <w:rFonts w:hint="eastAsia"/>
        </w:rPr>
        <w:t>年的投资业绩研究显示，每年为用户增加超过</w:t>
      </w:r>
      <w:r w:rsidRPr="00792C5D">
        <w:rPr>
          <w:rFonts w:hint="eastAsia"/>
        </w:rPr>
        <w:t>1.55%</w:t>
      </w:r>
      <w:r w:rsidRPr="00792C5D">
        <w:rPr>
          <w:rFonts w:hint="eastAsia"/>
        </w:rPr>
        <w:t>的收益率。</w:t>
      </w:r>
    </w:p>
    <w:p w14:paraId="4269A17D" w14:textId="77777777" w:rsidR="00F20EE6" w:rsidRPr="00792C5D" w:rsidRDefault="00F20EE6" w:rsidP="00F20EE6">
      <w:pPr>
        <w:ind w:firstLine="420"/>
      </w:pPr>
      <w:r w:rsidRPr="00792C5D">
        <w:rPr>
          <w:rFonts w:hint="eastAsia"/>
        </w:rPr>
        <w:t>税收优化直接指数化是强化版的税收损失收割，不是购买单只股票相关的</w:t>
      </w:r>
      <w:r w:rsidRPr="00792C5D">
        <w:rPr>
          <w:rFonts w:hint="eastAsia"/>
        </w:rPr>
        <w:t>ETF</w:t>
      </w:r>
      <w:r w:rsidRPr="00792C5D">
        <w:rPr>
          <w:rFonts w:hint="eastAsia"/>
        </w:rPr>
        <w:t>，而是购买多只股票相关的</w:t>
      </w:r>
      <w:r w:rsidRPr="00792C5D">
        <w:rPr>
          <w:rFonts w:hint="eastAsia"/>
        </w:rPr>
        <w:t>ETF</w:t>
      </w:r>
      <w:r w:rsidRPr="00792C5D">
        <w:rPr>
          <w:rFonts w:hint="eastAsia"/>
        </w:rPr>
        <w:t>，并且用户不需要承担额外的佣金。该服务既能减少投资</w:t>
      </w:r>
      <w:r w:rsidRPr="00792C5D">
        <w:rPr>
          <w:rFonts w:hint="eastAsia"/>
        </w:rPr>
        <w:t>ETF</w:t>
      </w:r>
      <w:r w:rsidRPr="00792C5D">
        <w:rPr>
          <w:rFonts w:hint="eastAsia"/>
        </w:rPr>
        <w:t>需要支付给基金公司的管理费用，又能实现在个股层面上的税收收割，获得更多的潜在节税收益。</w:t>
      </w:r>
      <w:proofErr w:type="spellStart"/>
      <w:r w:rsidRPr="00792C5D">
        <w:rPr>
          <w:rFonts w:hint="eastAsia"/>
        </w:rPr>
        <w:t>Wealthfront</w:t>
      </w:r>
      <w:proofErr w:type="spellEnd"/>
      <w:r w:rsidRPr="00792C5D">
        <w:rPr>
          <w:rFonts w:hint="eastAsia"/>
        </w:rPr>
        <w:t>对历史数据</w:t>
      </w:r>
      <w:proofErr w:type="gramStart"/>
      <w:r w:rsidRPr="00792C5D">
        <w:rPr>
          <w:rFonts w:hint="eastAsia"/>
        </w:rPr>
        <w:t>的回测结果</w:t>
      </w:r>
      <w:proofErr w:type="gramEnd"/>
      <w:r w:rsidRPr="00792C5D">
        <w:rPr>
          <w:rFonts w:hint="eastAsia"/>
        </w:rPr>
        <w:t>显示，直接指数化的投资组合平均收益率高于直接投资指数（如</w:t>
      </w:r>
      <w:r w:rsidRPr="00792C5D">
        <w:rPr>
          <w:rFonts w:hint="eastAsia"/>
        </w:rPr>
        <w:t>S&amp;P500</w:t>
      </w:r>
      <w:r w:rsidRPr="00792C5D">
        <w:rPr>
          <w:rFonts w:hint="eastAsia"/>
        </w:rPr>
        <w:t>）的投资组合的收益率，而且个股数量越多的组合，平均收益率越高，即越能利用税收亏损收割的方法增加收益。</w:t>
      </w:r>
    </w:p>
    <w:p w14:paraId="69650F8D" w14:textId="77777777" w:rsidR="00F20EE6" w:rsidRPr="00792C5D" w:rsidRDefault="00F20EE6" w:rsidP="00F20EE6">
      <w:pPr>
        <w:ind w:firstLine="420"/>
      </w:pPr>
      <w:r w:rsidRPr="00792C5D">
        <w:rPr>
          <w:rFonts w:hint="eastAsia"/>
        </w:rPr>
        <w:t>单只股票分散投资服务是将单只股票逐步以无佣金、低税的方式卖出，并且分散投资到多种类型的</w:t>
      </w:r>
      <w:r w:rsidRPr="00792C5D">
        <w:rPr>
          <w:rFonts w:hint="eastAsia"/>
        </w:rPr>
        <w:t>ETF</w:t>
      </w:r>
      <w:r w:rsidRPr="00792C5D">
        <w:rPr>
          <w:rFonts w:hint="eastAsia"/>
        </w:rPr>
        <w:t>中。目前，该服务只针对</w:t>
      </w:r>
      <w:r w:rsidRPr="00792C5D">
        <w:rPr>
          <w:rFonts w:hint="eastAsia"/>
        </w:rPr>
        <w:t>Facebook</w:t>
      </w:r>
      <w:r w:rsidRPr="00792C5D">
        <w:rPr>
          <w:rFonts w:hint="eastAsia"/>
        </w:rPr>
        <w:t>和</w:t>
      </w:r>
      <w:r w:rsidRPr="00792C5D">
        <w:rPr>
          <w:rFonts w:hint="eastAsia"/>
        </w:rPr>
        <w:t>Twitter</w:t>
      </w:r>
      <w:r w:rsidRPr="00792C5D">
        <w:rPr>
          <w:rFonts w:hint="eastAsia"/>
        </w:rPr>
        <w:t>两只股票。当投资者大量持有某</w:t>
      </w:r>
      <w:proofErr w:type="gramStart"/>
      <w:r w:rsidRPr="00792C5D">
        <w:rPr>
          <w:rFonts w:hint="eastAsia"/>
        </w:rPr>
        <w:t>只公司</w:t>
      </w:r>
      <w:proofErr w:type="gramEnd"/>
      <w:r w:rsidRPr="00792C5D">
        <w:rPr>
          <w:rFonts w:hint="eastAsia"/>
        </w:rPr>
        <w:t>的股票时，需要完全承担这只股票的风险，包括股价波动、抛售股票时机不当等。结合用户短期、长期的资金需求和投资计划，以及风险容忍度，</w:t>
      </w:r>
      <w:proofErr w:type="spellStart"/>
      <w:r w:rsidRPr="00792C5D">
        <w:rPr>
          <w:rFonts w:hint="eastAsia"/>
        </w:rPr>
        <w:t>Wealthfront</w:t>
      </w:r>
      <w:proofErr w:type="spellEnd"/>
      <w:r w:rsidRPr="00792C5D">
        <w:rPr>
          <w:rFonts w:hint="eastAsia"/>
        </w:rPr>
        <w:t>为用户提供在一定时间内逐渐卖出一定数量该公司股票的服务，而且将卖出股票所得现金投资于用户的分散化投资组合。对比用户自己卖出股票，单只股票分散投资服务的好处包括以下几点：</w:t>
      </w:r>
    </w:p>
    <w:p w14:paraId="65127793" w14:textId="77777777" w:rsidR="00F20EE6" w:rsidRPr="00792C5D" w:rsidRDefault="00F20EE6" w:rsidP="00F20EE6">
      <w:pPr>
        <w:ind w:firstLine="420"/>
      </w:pPr>
      <w:r w:rsidRPr="00792C5D">
        <w:rPr>
          <w:rFonts w:hint="eastAsia"/>
        </w:rPr>
        <w:t>（</w:t>
      </w:r>
      <w:r w:rsidRPr="00792C5D">
        <w:rPr>
          <w:rFonts w:hint="eastAsia"/>
        </w:rPr>
        <w:t>1</w:t>
      </w:r>
      <w:r w:rsidRPr="00792C5D">
        <w:rPr>
          <w:rFonts w:hint="eastAsia"/>
        </w:rPr>
        <w:t>）免佣金。</w:t>
      </w:r>
      <w:proofErr w:type="spellStart"/>
      <w:r w:rsidRPr="00792C5D">
        <w:rPr>
          <w:rFonts w:hint="eastAsia"/>
        </w:rPr>
        <w:t>Wealthfront</w:t>
      </w:r>
      <w:proofErr w:type="spellEnd"/>
      <w:r w:rsidRPr="00792C5D">
        <w:rPr>
          <w:rFonts w:hint="eastAsia"/>
        </w:rPr>
        <w:t>对使用该服务的用户不收取佣金或其他费用；</w:t>
      </w:r>
    </w:p>
    <w:p w14:paraId="10823D10" w14:textId="77777777" w:rsidR="00F20EE6" w:rsidRPr="00792C5D" w:rsidRDefault="00F20EE6" w:rsidP="00F20EE6">
      <w:pPr>
        <w:ind w:firstLine="420"/>
      </w:pPr>
      <w:r w:rsidRPr="00792C5D">
        <w:rPr>
          <w:rFonts w:hint="eastAsia"/>
        </w:rPr>
        <w:t>（</w:t>
      </w:r>
      <w:r w:rsidRPr="00792C5D">
        <w:rPr>
          <w:rFonts w:hint="eastAsia"/>
        </w:rPr>
        <w:t>2</w:t>
      </w:r>
      <w:r w:rsidRPr="00792C5D">
        <w:rPr>
          <w:rFonts w:hint="eastAsia"/>
        </w:rPr>
        <w:t>）逐日卖出股票。有计划地逐日甚至每日卖出，减少错失出售股票的良机；</w:t>
      </w:r>
    </w:p>
    <w:p w14:paraId="6F6D4F8C" w14:textId="77777777" w:rsidR="00F20EE6" w:rsidRPr="00792C5D" w:rsidRDefault="00F20EE6" w:rsidP="00F20EE6">
      <w:pPr>
        <w:ind w:firstLine="420"/>
      </w:pPr>
      <w:r w:rsidRPr="00792C5D">
        <w:rPr>
          <w:rFonts w:hint="eastAsia"/>
        </w:rPr>
        <w:t>（</w:t>
      </w:r>
      <w:r w:rsidRPr="00792C5D">
        <w:rPr>
          <w:rFonts w:hint="eastAsia"/>
        </w:rPr>
        <w:t>3</w:t>
      </w:r>
      <w:r w:rsidRPr="00792C5D">
        <w:rPr>
          <w:rFonts w:hint="eastAsia"/>
        </w:rPr>
        <w:t>）尽可能地减免税收支出。</w:t>
      </w:r>
      <w:proofErr w:type="spellStart"/>
      <w:r w:rsidRPr="00792C5D">
        <w:rPr>
          <w:rFonts w:hint="eastAsia"/>
        </w:rPr>
        <w:t>Wealthfront</w:t>
      </w:r>
      <w:proofErr w:type="spellEnd"/>
      <w:r w:rsidRPr="00792C5D">
        <w:rPr>
          <w:rFonts w:hint="eastAsia"/>
        </w:rPr>
        <w:t>的股票售卖计划考虑纳税及短期资金需求，还能与税收损失收割等服务结合，尽可能地降低用户的税收负担；</w:t>
      </w:r>
    </w:p>
    <w:p w14:paraId="4F91ABAA" w14:textId="77777777" w:rsidR="00F20EE6" w:rsidRPr="00792C5D" w:rsidRDefault="00F20EE6" w:rsidP="00F20EE6">
      <w:pPr>
        <w:ind w:firstLine="420"/>
      </w:pPr>
      <w:r w:rsidRPr="00792C5D">
        <w:rPr>
          <w:rFonts w:hint="eastAsia"/>
        </w:rPr>
        <w:t>（</w:t>
      </w:r>
      <w:r w:rsidRPr="00792C5D">
        <w:rPr>
          <w:rFonts w:hint="eastAsia"/>
        </w:rPr>
        <w:t>4</w:t>
      </w:r>
      <w:r w:rsidRPr="00792C5D">
        <w:rPr>
          <w:rFonts w:hint="eastAsia"/>
        </w:rPr>
        <w:t>）收入再投资。基于用户的风险水平，该项服务将出售股票的税后收入自动投到</w:t>
      </w:r>
      <w:proofErr w:type="spellStart"/>
      <w:r w:rsidRPr="00792C5D">
        <w:rPr>
          <w:rFonts w:hint="eastAsia"/>
        </w:rPr>
        <w:t>Wealthfront</w:t>
      </w:r>
      <w:proofErr w:type="spellEnd"/>
      <w:r w:rsidRPr="00792C5D">
        <w:rPr>
          <w:rFonts w:hint="eastAsia"/>
        </w:rPr>
        <w:t>的投资组合中，避免用户持有现金而错失投资机会；</w:t>
      </w:r>
    </w:p>
    <w:p w14:paraId="227371B3" w14:textId="77777777" w:rsidR="00F20EE6" w:rsidRPr="00792C5D" w:rsidRDefault="00F20EE6" w:rsidP="00F20EE6">
      <w:pPr>
        <w:ind w:firstLine="420"/>
      </w:pPr>
      <w:r w:rsidRPr="00792C5D">
        <w:rPr>
          <w:rFonts w:hint="eastAsia"/>
        </w:rPr>
        <w:t>（</w:t>
      </w:r>
      <w:r w:rsidRPr="00792C5D">
        <w:rPr>
          <w:rFonts w:hint="eastAsia"/>
        </w:rPr>
        <w:t>5</w:t>
      </w:r>
      <w:r w:rsidRPr="00792C5D">
        <w:rPr>
          <w:rFonts w:hint="eastAsia"/>
        </w:rPr>
        <w:t>）非常灵活。用户可以根据需要随时中止、更新、重新设置售股计划，也能够随时清仓、资金转移至其他经纪账户。</w:t>
      </w:r>
    </w:p>
    <w:p w14:paraId="41DDAACE" w14:textId="77777777" w:rsidR="00F20EE6" w:rsidRPr="00792C5D" w:rsidRDefault="00F20EE6" w:rsidP="00F20EE6">
      <w:pPr>
        <w:ind w:firstLine="420"/>
      </w:pPr>
    </w:p>
    <w:p w14:paraId="6FEE8550" w14:textId="77777777" w:rsidR="00F20EE6" w:rsidRPr="00792C5D" w:rsidRDefault="00F20EE6" w:rsidP="00F20EE6">
      <w:pPr>
        <w:pStyle w:val="1"/>
        <w:ind w:firstLine="600"/>
      </w:pPr>
      <w:r w:rsidRPr="00792C5D">
        <w:rPr>
          <w:rFonts w:hint="eastAsia"/>
        </w:rPr>
        <w:lastRenderedPageBreak/>
        <w:t>五、盈利模式</w:t>
      </w:r>
    </w:p>
    <w:p w14:paraId="2C7D3E28" w14:textId="77777777" w:rsidR="00F20EE6" w:rsidRPr="00792C5D" w:rsidRDefault="00F20EE6" w:rsidP="00F20EE6">
      <w:pPr>
        <w:ind w:firstLine="420"/>
      </w:pPr>
      <w:proofErr w:type="spellStart"/>
      <w:r w:rsidRPr="00792C5D">
        <w:rPr>
          <w:rFonts w:hint="eastAsia"/>
        </w:rPr>
        <w:t>Wealthfront</w:t>
      </w:r>
      <w:proofErr w:type="spellEnd"/>
      <w:r w:rsidRPr="00792C5D">
        <w:rPr>
          <w:rFonts w:hint="eastAsia"/>
        </w:rPr>
        <w:t>的特点是成本低，主要客户为中等收入年轻人，区别于传统理财主要针对高净值人群。平台的盈利来源为其向客户收取的咨询费（</w:t>
      </w:r>
      <w:r w:rsidRPr="00792C5D">
        <w:rPr>
          <w:rFonts w:hint="eastAsia"/>
        </w:rPr>
        <w:t>advisory fee</w:t>
      </w:r>
      <w:r w:rsidRPr="00792C5D">
        <w:rPr>
          <w:rFonts w:hint="eastAsia"/>
        </w:rPr>
        <w:t>），具体收费比例见下表。</w:t>
      </w:r>
    </w:p>
    <w:p w14:paraId="5BC6542E" w14:textId="77777777" w:rsidR="00F20EE6" w:rsidRPr="00792C5D" w:rsidRDefault="00F20EE6" w:rsidP="00F20EE6">
      <w:pPr>
        <w:ind w:firstLine="420"/>
      </w:pPr>
    </w:p>
    <w:p w14:paraId="629845C5" w14:textId="77777777" w:rsidR="00F20EE6" w:rsidRPr="00792C5D" w:rsidRDefault="00F20EE6" w:rsidP="00F20EE6">
      <w:pPr>
        <w:pStyle w:val="a7"/>
        <w:keepNext/>
        <w:ind w:firstLine="400"/>
        <w:jc w:val="center"/>
        <w:rPr>
          <w:rFonts w:ascii="Times New Roman" w:hAnsi="Times New Roman"/>
        </w:rPr>
      </w:pPr>
      <w:r w:rsidRPr="00792C5D">
        <w:rPr>
          <w:rFonts w:ascii="Times New Roman" w:hAnsi="Times New Roman" w:hint="eastAsia"/>
        </w:rPr>
        <w:t>表</w:t>
      </w:r>
      <w:r w:rsidRPr="00792C5D">
        <w:rPr>
          <w:rFonts w:ascii="Times New Roman" w:hAnsi="Times New Roman" w:hint="eastAsia"/>
        </w:rPr>
        <w:t xml:space="preserve"> </w:t>
      </w:r>
      <w:r w:rsidRPr="00792C5D">
        <w:rPr>
          <w:rFonts w:ascii="Times New Roman" w:hAnsi="Times New Roman"/>
        </w:rPr>
        <w:fldChar w:fldCharType="begin"/>
      </w:r>
      <w:r w:rsidRPr="00792C5D">
        <w:rPr>
          <w:rFonts w:ascii="Times New Roman" w:hAnsi="Times New Roman"/>
        </w:rPr>
        <w:instrText xml:space="preserve"> </w:instrText>
      </w:r>
      <w:r w:rsidRPr="00792C5D">
        <w:rPr>
          <w:rFonts w:ascii="Times New Roman" w:hAnsi="Times New Roman" w:hint="eastAsia"/>
        </w:rPr>
        <w:instrText xml:space="preserve">SEQ </w:instrText>
      </w:r>
      <w:r w:rsidRPr="00792C5D">
        <w:rPr>
          <w:rFonts w:ascii="Times New Roman" w:hAnsi="Times New Roman" w:hint="eastAsia"/>
        </w:rPr>
        <w:instrText>表</w:instrText>
      </w:r>
      <w:r w:rsidRPr="00792C5D">
        <w:rPr>
          <w:rFonts w:ascii="Times New Roman" w:hAnsi="Times New Roman" w:hint="eastAsia"/>
        </w:rPr>
        <w:instrText xml:space="preserve"> \* ARABIC</w:instrText>
      </w:r>
      <w:r w:rsidRPr="00792C5D">
        <w:rPr>
          <w:rFonts w:ascii="Times New Roman" w:hAnsi="Times New Roman"/>
        </w:rPr>
        <w:instrText xml:space="preserve"> </w:instrText>
      </w:r>
      <w:r w:rsidRPr="00792C5D">
        <w:rPr>
          <w:rFonts w:ascii="Times New Roman" w:hAnsi="Times New Roman"/>
        </w:rPr>
        <w:fldChar w:fldCharType="separate"/>
      </w:r>
      <w:r>
        <w:rPr>
          <w:rFonts w:ascii="Times New Roman" w:hAnsi="Times New Roman"/>
          <w:noProof/>
        </w:rPr>
        <w:t>3</w:t>
      </w:r>
      <w:r w:rsidRPr="00792C5D">
        <w:rPr>
          <w:rFonts w:ascii="Times New Roman" w:hAnsi="Times New Roman"/>
        </w:rPr>
        <w:fldChar w:fldCharType="end"/>
      </w:r>
      <w:r w:rsidRPr="00792C5D">
        <w:rPr>
          <w:rFonts w:ascii="Times New Roman" w:hAnsi="Times New Roman"/>
        </w:rPr>
        <w:t xml:space="preserve"> </w:t>
      </w:r>
      <w:proofErr w:type="spellStart"/>
      <w:r w:rsidRPr="00792C5D">
        <w:rPr>
          <w:rFonts w:ascii="Times New Roman" w:hAnsi="Times New Roman" w:hint="eastAsia"/>
        </w:rPr>
        <w:t>Wealthfront</w:t>
      </w:r>
      <w:proofErr w:type="spellEnd"/>
      <w:r w:rsidRPr="00792C5D">
        <w:rPr>
          <w:rFonts w:ascii="Times New Roman" w:hAnsi="Times New Roman" w:hint="eastAsia"/>
        </w:rPr>
        <w:t>的盈利模式</w:t>
      </w:r>
    </w:p>
    <w:p w14:paraId="06B98756" w14:textId="77777777" w:rsidR="00F20EE6" w:rsidRPr="00792C5D" w:rsidRDefault="00F20EE6" w:rsidP="00F20EE6">
      <w:pPr>
        <w:ind w:firstLineChars="0" w:firstLine="0"/>
      </w:pPr>
      <w:r w:rsidRPr="00792C5D">
        <w:rPr>
          <w:noProof/>
        </w:rPr>
        <w:drawing>
          <wp:inline distT="0" distB="0" distL="0" distR="0" wp14:anchorId="15858160" wp14:editId="3DC0FD77">
            <wp:extent cx="5312229" cy="2247707"/>
            <wp:effectExtent l="0" t="0" r="3175" b="635"/>
            <wp:docPr id="8" name="图片 8" descr="http://n1.itc.cn/img8/wb/recom/2016/04/05/1459829954500093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n1.itc.cn/img8/wb/recom/2016/04/05/145982995450009319.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b="6388"/>
                    <a:stretch/>
                  </pic:blipFill>
                  <pic:spPr bwMode="auto">
                    <a:xfrm>
                      <a:off x="0" y="0"/>
                      <a:ext cx="5317690" cy="2250017"/>
                    </a:xfrm>
                    <a:prstGeom prst="rect">
                      <a:avLst/>
                    </a:prstGeom>
                    <a:noFill/>
                    <a:ln>
                      <a:noFill/>
                    </a:ln>
                    <a:extLst>
                      <a:ext uri="{53640926-AAD7-44D8-BBD7-CCE9431645EC}">
                        <a14:shadowObscured xmlns:a14="http://schemas.microsoft.com/office/drawing/2010/main"/>
                      </a:ext>
                    </a:extLst>
                  </pic:spPr>
                </pic:pic>
              </a:graphicData>
            </a:graphic>
          </wp:inline>
        </w:drawing>
      </w:r>
    </w:p>
    <w:p w14:paraId="1689AFE2" w14:textId="77777777" w:rsidR="00F20EE6" w:rsidRPr="00792C5D" w:rsidRDefault="00F20EE6" w:rsidP="00F20EE6">
      <w:pPr>
        <w:ind w:firstLine="420"/>
      </w:pPr>
      <w:r w:rsidRPr="00792C5D">
        <w:rPr>
          <w:rFonts w:hint="eastAsia"/>
        </w:rPr>
        <w:t>平台的收费既低于传统理财机构的费用，也低于类似知名的</w:t>
      </w:r>
      <w:proofErr w:type="gramStart"/>
      <w:r w:rsidRPr="00792C5D">
        <w:rPr>
          <w:rFonts w:hint="eastAsia"/>
        </w:rPr>
        <w:t>智能投顾平台</w:t>
      </w:r>
      <w:proofErr w:type="gramEnd"/>
      <w:r w:rsidRPr="00792C5D">
        <w:rPr>
          <w:rFonts w:hint="eastAsia"/>
        </w:rPr>
        <w:t>的费用。通常，美国传统的投资理财机构收取的费用项目较多，整体费率较高，如交易费（</w:t>
      </w:r>
      <w:r w:rsidRPr="00792C5D">
        <w:rPr>
          <w:rFonts w:hint="eastAsia"/>
        </w:rPr>
        <w:t>trade fees</w:t>
      </w:r>
      <w:r w:rsidRPr="00792C5D">
        <w:rPr>
          <w:rFonts w:hint="eastAsia"/>
        </w:rPr>
        <w:t>）、充值提现费（</w:t>
      </w:r>
      <w:r w:rsidRPr="00792C5D">
        <w:rPr>
          <w:rFonts w:hint="eastAsia"/>
        </w:rPr>
        <w:t>transaction fees</w:t>
      </w:r>
      <w:r w:rsidRPr="00792C5D">
        <w:rPr>
          <w:rFonts w:hint="eastAsia"/>
        </w:rPr>
        <w:t>）、投资组合调整费用（</w:t>
      </w:r>
      <w:r w:rsidRPr="00792C5D">
        <w:rPr>
          <w:rFonts w:hint="eastAsia"/>
        </w:rPr>
        <w:t>rebalancing fees</w:t>
      </w:r>
      <w:r w:rsidRPr="00792C5D">
        <w:rPr>
          <w:rFonts w:hint="eastAsia"/>
        </w:rPr>
        <w:t>）、隐藏的费用（</w:t>
      </w:r>
      <w:r w:rsidRPr="00792C5D">
        <w:rPr>
          <w:rFonts w:hint="eastAsia"/>
        </w:rPr>
        <w:t>hidden fees</w:t>
      </w:r>
      <w:r w:rsidRPr="00792C5D">
        <w:rPr>
          <w:rFonts w:hint="eastAsia"/>
        </w:rPr>
        <w:t>）、零散的费用（“</w:t>
      </w:r>
      <w:r w:rsidRPr="00792C5D">
        <w:rPr>
          <w:rFonts w:hint="eastAsia"/>
        </w:rPr>
        <w:t>nickel and dime</w:t>
      </w:r>
      <w:r w:rsidRPr="00792C5D">
        <w:rPr>
          <w:rFonts w:hint="eastAsia"/>
        </w:rPr>
        <w:t>”</w:t>
      </w:r>
      <w:r w:rsidRPr="00792C5D">
        <w:rPr>
          <w:rFonts w:hint="eastAsia"/>
        </w:rPr>
        <w:t>fees</w:t>
      </w:r>
      <w:r w:rsidRPr="00792C5D">
        <w:rPr>
          <w:rFonts w:hint="eastAsia"/>
        </w:rPr>
        <w:t>）、咨询费（</w:t>
      </w:r>
      <w:r w:rsidRPr="00792C5D">
        <w:rPr>
          <w:rFonts w:hint="eastAsia"/>
        </w:rPr>
        <w:t>advisory fees</w:t>
      </w:r>
      <w:r w:rsidRPr="00792C5D">
        <w:rPr>
          <w:rFonts w:hint="eastAsia"/>
        </w:rPr>
        <w:t>），平均约为</w:t>
      </w:r>
      <w:r w:rsidRPr="00792C5D">
        <w:rPr>
          <w:rFonts w:hint="eastAsia"/>
        </w:rPr>
        <w:t>1%</w:t>
      </w:r>
      <w:r w:rsidRPr="00792C5D">
        <w:rPr>
          <w:rFonts w:hint="eastAsia"/>
        </w:rPr>
        <w:t>，也有达到甚至超过</w:t>
      </w:r>
      <w:r w:rsidRPr="00792C5D">
        <w:rPr>
          <w:rFonts w:hint="eastAsia"/>
        </w:rPr>
        <w:t>3%</w:t>
      </w:r>
      <w:r w:rsidRPr="00792C5D">
        <w:rPr>
          <w:rFonts w:hint="eastAsia"/>
        </w:rPr>
        <w:t>的情况。其实，这是可以理解的，美国的人力成本、房屋租金高，传统投资理财机构有大量的理财顾问，甚至开设了不少线下营业网点，这都是巨大的成本开支，唯有通过向用户收取较高的费率才可能收回成本甚至盈利。而</w:t>
      </w:r>
      <w:proofErr w:type="gramStart"/>
      <w:r w:rsidRPr="00792C5D">
        <w:rPr>
          <w:rFonts w:hint="eastAsia"/>
        </w:rPr>
        <w:t>智能投顾平台</w:t>
      </w:r>
      <w:proofErr w:type="gramEnd"/>
      <w:r w:rsidRPr="00792C5D">
        <w:rPr>
          <w:rFonts w:hint="eastAsia"/>
        </w:rPr>
        <w:t>依靠互联网技术的优势，不需要那么多的雇员，只需要较少的办公场所即可，因而能够极大地节省传统投资理财机构所承担的上述成本，即使采用低费率的策略吸引投资者，只要成交规模足够大，完全能够实现较多的利润。</w:t>
      </w:r>
    </w:p>
    <w:p w14:paraId="3B2D2913" w14:textId="77777777" w:rsidR="00F20EE6" w:rsidRPr="00792C5D" w:rsidRDefault="00F20EE6" w:rsidP="00F20EE6">
      <w:pPr>
        <w:pStyle w:val="a7"/>
        <w:keepNext/>
        <w:ind w:firstLine="400"/>
        <w:jc w:val="center"/>
        <w:rPr>
          <w:rFonts w:ascii="Times New Roman" w:hAnsi="Times New Roman"/>
        </w:rPr>
      </w:pPr>
      <w:r w:rsidRPr="00792C5D">
        <w:rPr>
          <w:rFonts w:ascii="Times New Roman" w:hAnsi="Times New Roman" w:hint="eastAsia"/>
        </w:rPr>
        <w:lastRenderedPageBreak/>
        <w:t>表</w:t>
      </w:r>
      <w:r w:rsidRPr="00792C5D">
        <w:rPr>
          <w:rFonts w:ascii="Times New Roman" w:hAnsi="Times New Roman" w:hint="eastAsia"/>
        </w:rPr>
        <w:t xml:space="preserve"> </w:t>
      </w:r>
      <w:r w:rsidRPr="00792C5D">
        <w:rPr>
          <w:rFonts w:ascii="Times New Roman" w:hAnsi="Times New Roman"/>
        </w:rPr>
        <w:fldChar w:fldCharType="begin"/>
      </w:r>
      <w:r w:rsidRPr="00792C5D">
        <w:rPr>
          <w:rFonts w:ascii="Times New Roman" w:hAnsi="Times New Roman"/>
        </w:rPr>
        <w:instrText xml:space="preserve"> </w:instrText>
      </w:r>
      <w:r w:rsidRPr="00792C5D">
        <w:rPr>
          <w:rFonts w:ascii="Times New Roman" w:hAnsi="Times New Roman" w:hint="eastAsia"/>
        </w:rPr>
        <w:instrText xml:space="preserve">SEQ </w:instrText>
      </w:r>
      <w:r w:rsidRPr="00792C5D">
        <w:rPr>
          <w:rFonts w:ascii="Times New Roman" w:hAnsi="Times New Roman" w:hint="eastAsia"/>
        </w:rPr>
        <w:instrText>表</w:instrText>
      </w:r>
      <w:r w:rsidRPr="00792C5D">
        <w:rPr>
          <w:rFonts w:ascii="Times New Roman" w:hAnsi="Times New Roman" w:hint="eastAsia"/>
        </w:rPr>
        <w:instrText xml:space="preserve"> \* ARABIC</w:instrText>
      </w:r>
      <w:r w:rsidRPr="00792C5D">
        <w:rPr>
          <w:rFonts w:ascii="Times New Roman" w:hAnsi="Times New Roman"/>
        </w:rPr>
        <w:instrText xml:space="preserve"> </w:instrText>
      </w:r>
      <w:r w:rsidRPr="00792C5D">
        <w:rPr>
          <w:rFonts w:ascii="Times New Roman" w:hAnsi="Times New Roman"/>
        </w:rPr>
        <w:fldChar w:fldCharType="separate"/>
      </w:r>
      <w:r>
        <w:rPr>
          <w:rFonts w:ascii="Times New Roman" w:hAnsi="Times New Roman"/>
          <w:noProof/>
        </w:rPr>
        <w:t>4</w:t>
      </w:r>
      <w:r w:rsidRPr="00792C5D">
        <w:rPr>
          <w:rFonts w:ascii="Times New Roman" w:hAnsi="Times New Roman"/>
        </w:rPr>
        <w:fldChar w:fldCharType="end"/>
      </w:r>
      <w:r w:rsidRPr="00792C5D">
        <w:rPr>
          <w:rFonts w:ascii="Times New Roman" w:hAnsi="Times New Roman" w:hint="eastAsia"/>
        </w:rPr>
        <w:t>部分有代表性的投资理财平台收费模式</w:t>
      </w:r>
    </w:p>
    <w:p w14:paraId="4E8D8BAD" w14:textId="77777777" w:rsidR="00F20EE6" w:rsidRPr="00792C5D" w:rsidRDefault="00F20EE6" w:rsidP="00F20EE6">
      <w:pPr>
        <w:ind w:firstLineChars="0" w:firstLine="0"/>
      </w:pPr>
      <w:r w:rsidRPr="00792C5D">
        <w:rPr>
          <w:noProof/>
        </w:rPr>
        <w:drawing>
          <wp:inline distT="0" distB="0" distL="0" distR="0" wp14:anchorId="2FC8A3E9" wp14:editId="3F44E7C7">
            <wp:extent cx="5143500" cy="4430485"/>
            <wp:effectExtent l="0" t="0" r="0" b="8255"/>
            <wp:docPr id="7" name="图片 7" descr="http://n1.itc.cn/img8/wb/recom/2016/04/05/1459829954761594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n1.itc.cn/img8/wb/recom/2016/04/05/145982995476159452.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b="7293"/>
                    <a:stretch/>
                  </pic:blipFill>
                  <pic:spPr bwMode="auto">
                    <a:xfrm>
                      <a:off x="0" y="0"/>
                      <a:ext cx="5143500" cy="4430485"/>
                    </a:xfrm>
                    <a:prstGeom prst="rect">
                      <a:avLst/>
                    </a:prstGeom>
                    <a:noFill/>
                    <a:ln>
                      <a:noFill/>
                    </a:ln>
                    <a:extLst>
                      <a:ext uri="{53640926-AAD7-44D8-BBD7-CCE9431645EC}">
                        <a14:shadowObscured xmlns:a14="http://schemas.microsoft.com/office/drawing/2010/main"/>
                      </a:ext>
                    </a:extLst>
                  </pic:spPr>
                </pic:pic>
              </a:graphicData>
            </a:graphic>
          </wp:inline>
        </w:drawing>
      </w:r>
    </w:p>
    <w:p w14:paraId="59B8A51E" w14:textId="77777777" w:rsidR="00F20EE6" w:rsidRDefault="00F20EE6" w:rsidP="00F20EE6">
      <w:pPr>
        <w:pStyle w:val="1"/>
        <w:ind w:firstLine="600"/>
        <w:rPr>
          <w:shd w:val="clear" w:color="auto" w:fill="FFFFFF"/>
        </w:rPr>
      </w:pPr>
      <w:proofErr w:type="spellStart"/>
      <w:r>
        <w:rPr>
          <w:rFonts w:hint="eastAsia"/>
          <w:shd w:val="clear" w:color="auto" w:fill="FFFFFF"/>
        </w:rPr>
        <w:t>Wealthfront</w:t>
      </w:r>
      <w:proofErr w:type="spellEnd"/>
      <w:r>
        <w:rPr>
          <w:rFonts w:hint="eastAsia"/>
          <w:shd w:val="clear" w:color="auto" w:fill="FFFFFF"/>
        </w:rPr>
        <w:t>模式在中国发展的前景探讨</w:t>
      </w:r>
    </w:p>
    <w:p w14:paraId="1BA36636" w14:textId="77777777" w:rsidR="00F20EE6" w:rsidRDefault="00F20EE6" w:rsidP="00F20EE6">
      <w:pPr>
        <w:ind w:firstLine="420"/>
        <w:rPr>
          <w:color w:val="2B2B2B"/>
          <w:szCs w:val="21"/>
          <w:shd w:val="clear" w:color="auto" w:fill="FFFFFF"/>
        </w:rPr>
      </w:pPr>
      <w:r>
        <w:rPr>
          <w:rFonts w:hint="eastAsia"/>
          <w:shd w:val="clear" w:color="auto" w:fill="FFFFFF"/>
        </w:rPr>
        <w:t>（</w:t>
      </w:r>
      <w:r>
        <w:rPr>
          <w:shd w:val="clear" w:color="auto" w:fill="FFFFFF"/>
        </w:rPr>
        <w:t>一</w:t>
      </w:r>
      <w:r>
        <w:rPr>
          <w:rFonts w:hint="eastAsia"/>
          <w:shd w:val="clear" w:color="auto" w:fill="FFFFFF"/>
        </w:rPr>
        <w:t>）机</w:t>
      </w:r>
      <w:r>
        <w:rPr>
          <w:rFonts w:hint="eastAsia"/>
          <w:color w:val="2B2B2B"/>
          <w:szCs w:val="21"/>
          <w:shd w:val="clear" w:color="auto" w:fill="FFFFFF"/>
        </w:rPr>
        <w:t>遇：理财计划的新选择，养老问题的新答案</w:t>
      </w:r>
    </w:p>
    <w:p w14:paraId="6694F830" w14:textId="77777777" w:rsidR="00F20EE6" w:rsidRPr="008309F3" w:rsidRDefault="00F20EE6" w:rsidP="00F20EE6">
      <w:pPr>
        <w:ind w:firstLine="420"/>
        <w:rPr>
          <w:shd w:val="clear" w:color="auto" w:fill="FFFFFF"/>
        </w:rPr>
      </w:pPr>
      <w:r w:rsidRPr="008309F3">
        <w:rPr>
          <w:rFonts w:hint="eastAsia"/>
          <w:shd w:val="clear" w:color="auto" w:fill="FFFFFF"/>
        </w:rPr>
        <w:t>我国的个人理财市场起步较晚，但是发展迅速，蕴含着巨大潜力，近年来我国的资本市场发展迅速，居民财富累积额逐年上升，投资需求旺盛，为个人理财市场的发展提供了良好的物质基础和广阔的发展空间。</w:t>
      </w:r>
    </w:p>
    <w:p w14:paraId="7C0229B8" w14:textId="77777777" w:rsidR="00F20EE6" w:rsidRPr="008309F3" w:rsidRDefault="00F20EE6" w:rsidP="00F20EE6">
      <w:pPr>
        <w:ind w:firstLine="420"/>
        <w:rPr>
          <w:shd w:val="clear" w:color="auto" w:fill="FFFFFF"/>
        </w:rPr>
      </w:pPr>
      <w:r w:rsidRPr="008309F3">
        <w:rPr>
          <w:rFonts w:hint="eastAsia"/>
          <w:shd w:val="clear" w:color="auto" w:fill="FFFFFF"/>
        </w:rPr>
        <w:t>余额宝的兴起是迎合中国居民理财需求迅速取得成功的先例。自</w:t>
      </w:r>
      <w:r w:rsidRPr="008309F3">
        <w:rPr>
          <w:rFonts w:hint="eastAsia"/>
          <w:shd w:val="clear" w:color="auto" w:fill="FFFFFF"/>
        </w:rPr>
        <w:t>2013</w:t>
      </w:r>
      <w:r w:rsidRPr="008309F3">
        <w:rPr>
          <w:rFonts w:hint="eastAsia"/>
          <w:shd w:val="clear" w:color="auto" w:fill="FFFFFF"/>
        </w:rPr>
        <w:t>年</w:t>
      </w:r>
      <w:r w:rsidRPr="008309F3">
        <w:rPr>
          <w:rFonts w:hint="eastAsia"/>
          <w:shd w:val="clear" w:color="auto" w:fill="FFFFFF"/>
        </w:rPr>
        <w:t>6</w:t>
      </w:r>
      <w:r w:rsidRPr="008309F3">
        <w:rPr>
          <w:rFonts w:hint="eastAsia"/>
          <w:shd w:val="clear" w:color="auto" w:fill="FFFFFF"/>
        </w:rPr>
        <w:t>上线至</w:t>
      </w:r>
      <w:r w:rsidRPr="008309F3">
        <w:rPr>
          <w:rFonts w:hint="eastAsia"/>
          <w:shd w:val="clear" w:color="auto" w:fill="FFFFFF"/>
        </w:rPr>
        <w:t>2014</w:t>
      </w:r>
      <w:r w:rsidRPr="008309F3">
        <w:rPr>
          <w:rFonts w:hint="eastAsia"/>
          <w:shd w:val="clear" w:color="auto" w:fill="FFFFFF"/>
        </w:rPr>
        <w:t>年</w:t>
      </w:r>
      <w:r w:rsidRPr="008309F3">
        <w:rPr>
          <w:rFonts w:hint="eastAsia"/>
          <w:shd w:val="clear" w:color="auto" w:fill="FFFFFF"/>
        </w:rPr>
        <w:t>2</w:t>
      </w:r>
      <w:r w:rsidRPr="008309F3">
        <w:rPr>
          <w:rFonts w:hint="eastAsia"/>
          <w:shd w:val="clear" w:color="auto" w:fill="FFFFFF"/>
        </w:rPr>
        <w:t>季度，余额</w:t>
      </w:r>
      <w:proofErr w:type="gramStart"/>
      <w:r w:rsidRPr="008309F3">
        <w:rPr>
          <w:rFonts w:hint="eastAsia"/>
          <w:shd w:val="clear" w:color="auto" w:fill="FFFFFF"/>
        </w:rPr>
        <w:t>宝资金</w:t>
      </w:r>
      <w:proofErr w:type="gramEnd"/>
      <w:r w:rsidRPr="008309F3">
        <w:rPr>
          <w:rFonts w:hint="eastAsia"/>
          <w:shd w:val="clear" w:color="auto" w:fill="FFFFFF"/>
        </w:rPr>
        <w:t>规模已超过</w:t>
      </w:r>
      <w:r w:rsidRPr="008309F3">
        <w:rPr>
          <w:rFonts w:hint="eastAsia"/>
          <w:shd w:val="clear" w:color="auto" w:fill="FFFFFF"/>
        </w:rPr>
        <w:t>5000</w:t>
      </w:r>
      <w:r w:rsidRPr="008309F3">
        <w:rPr>
          <w:rFonts w:hint="eastAsia"/>
          <w:shd w:val="clear" w:color="auto" w:fill="FFFFFF"/>
        </w:rPr>
        <w:t>亿人民币，收益率相当于银行存款利息的十五倍左右。与余额宝相类似，</w:t>
      </w:r>
      <w:proofErr w:type="spellStart"/>
      <w:r w:rsidRPr="008309F3">
        <w:rPr>
          <w:rFonts w:hint="eastAsia"/>
          <w:shd w:val="clear" w:color="auto" w:fill="FFFFFF"/>
        </w:rPr>
        <w:t>Wealthfront</w:t>
      </w:r>
      <w:proofErr w:type="spellEnd"/>
      <w:r w:rsidRPr="008309F3">
        <w:rPr>
          <w:rFonts w:hint="eastAsia"/>
          <w:shd w:val="clear" w:color="auto" w:fill="FFFFFF"/>
        </w:rPr>
        <w:t>在保持传统理财行业优质服务的同时降低了进入门槛和费率，但面向的目标人群不同。余额宝吸取的客户大部分是对流动性要求高、风险承受程度比较低的银行活期存款客户。</w:t>
      </w:r>
      <w:proofErr w:type="spellStart"/>
      <w:r w:rsidRPr="008309F3">
        <w:rPr>
          <w:rFonts w:hint="eastAsia"/>
          <w:shd w:val="clear" w:color="auto" w:fill="FFFFFF"/>
        </w:rPr>
        <w:t>Wealthfront</w:t>
      </w:r>
      <w:proofErr w:type="spellEnd"/>
      <w:r w:rsidRPr="008309F3">
        <w:rPr>
          <w:rFonts w:hint="eastAsia"/>
          <w:shd w:val="clear" w:color="auto" w:fill="FFFFFF"/>
        </w:rPr>
        <w:t>所提供的个人理财服务面对的是有一定风险承受程度</w:t>
      </w:r>
      <w:r w:rsidRPr="008309F3">
        <w:rPr>
          <w:rFonts w:hint="eastAsia"/>
          <w:shd w:val="clear" w:color="auto" w:fill="FFFFFF"/>
        </w:rPr>
        <w:lastRenderedPageBreak/>
        <w:t>希望获得较高收益的中等收入人群，</w:t>
      </w:r>
      <w:r>
        <w:rPr>
          <w:rFonts w:hint="eastAsia"/>
          <w:shd w:val="clear" w:color="auto" w:fill="FFFFFF"/>
        </w:rPr>
        <w:t>因此</w:t>
      </w:r>
      <w:r w:rsidRPr="008309F3">
        <w:rPr>
          <w:rFonts w:hint="eastAsia"/>
          <w:shd w:val="clear" w:color="auto" w:fill="FFFFFF"/>
        </w:rPr>
        <w:t>余额宝对</w:t>
      </w:r>
      <w:proofErr w:type="spellStart"/>
      <w:r w:rsidRPr="008309F3">
        <w:rPr>
          <w:rFonts w:hint="eastAsia"/>
          <w:shd w:val="clear" w:color="auto" w:fill="FFFFFF"/>
        </w:rPr>
        <w:t>Wealthfront</w:t>
      </w:r>
      <w:proofErr w:type="spellEnd"/>
      <w:r w:rsidRPr="008309F3">
        <w:rPr>
          <w:rFonts w:hint="eastAsia"/>
          <w:shd w:val="clear" w:color="auto" w:fill="FFFFFF"/>
        </w:rPr>
        <w:t>并不形成威胁。</w:t>
      </w:r>
    </w:p>
    <w:p w14:paraId="7A076157" w14:textId="77777777" w:rsidR="00F20EE6" w:rsidRPr="008309F3" w:rsidRDefault="00F20EE6" w:rsidP="00F20EE6">
      <w:pPr>
        <w:ind w:firstLine="420"/>
        <w:rPr>
          <w:shd w:val="clear" w:color="auto" w:fill="FFFFFF"/>
        </w:rPr>
      </w:pPr>
      <w:r w:rsidRPr="008309F3">
        <w:rPr>
          <w:rFonts w:hint="eastAsia"/>
          <w:shd w:val="clear" w:color="auto" w:fill="FFFFFF"/>
        </w:rPr>
        <w:t>此外，</w:t>
      </w:r>
      <w:proofErr w:type="spellStart"/>
      <w:r w:rsidRPr="008309F3">
        <w:rPr>
          <w:rFonts w:hint="eastAsia"/>
          <w:shd w:val="clear" w:color="auto" w:fill="FFFFFF"/>
        </w:rPr>
        <w:t>Wealthfront</w:t>
      </w:r>
      <w:proofErr w:type="spellEnd"/>
      <w:r w:rsidRPr="008309F3">
        <w:rPr>
          <w:rFonts w:hint="eastAsia"/>
          <w:shd w:val="clear" w:color="auto" w:fill="FFFFFF"/>
        </w:rPr>
        <w:t>是一种长期的被动投资，特别适合退休养老。目前，我国</w:t>
      </w:r>
      <w:r w:rsidRPr="008309F3">
        <w:rPr>
          <w:rFonts w:hint="eastAsia"/>
          <w:shd w:val="clear" w:color="auto" w:fill="FFFFFF"/>
        </w:rPr>
        <w:t>60</w:t>
      </w:r>
      <w:r w:rsidRPr="008309F3">
        <w:rPr>
          <w:rFonts w:hint="eastAsia"/>
          <w:shd w:val="clear" w:color="auto" w:fill="FFFFFF"/>
        </w:rPr>
        <w:t>岁以上老人突破</w:t>
      </w:r>
      <w:r w:rsidRPr="008309F3">
        <w:rPr>
          <w:rFonts w:hint="eastAsia"/>
          <w:shd w:val="clear" w:color="auto" w:fill="FFFFFF"/>
        </w:rPr>
        <w:t>2</w:t>
      </w:r>
      <w:r w:rsidRPr="008309F3">
        <w:rPr>
          <w:rFonts w:hint="eastAsia"/>
          <w:shd w:val="clear" w:color="auto" w:fill="FFFFFF"/>
        </w:rPr>
        <w:t>亿</w:t>
      </w:r>
      <w:r>
        <w:rPr>
          <w:rFonts w:hint="eastAsia"/>
          <w:shd w:val="clear" w:color="auto" w:fill="FFFFFF"/>
        </w:rPr>
        <w:t>人</w:t>
      </w:r>
      <w:r w:rsidRPr="008309F3">
        <w:rPr>
          <w:rFonts w:hint="eastAsia"/>
          <w:shd w:val="clear" w:color="auto" w:fill="FFFFFF"/>
        </w:rPr>
        <w:t>，到</w:t>
      </w:r>
      <w:r w:rsidRPr="008309F3">
        <w:rPr>
          <w:rFonts w:hint="eastAsia"/>
          <w:shd w:val="clear" w:color="auto" w:fill="FFFFFF"/>
        </w:rPr>
        <w:t>2025</w:t>
      </w:r>
      <w:r w:rsidRPr="008309F3">
        <w:rPr>
          <w:rFonts w:hint="eastAsia"/>
          <w:shd w:val="clear" w:color="auto" w:fill="FFFFFF"/>
        </w:rPr>
        <w:t>年，这个数字预计达到</w:t>
      </w:r>
      <w:r w:rsidRPr="008309F3">
        <w:rPr>
          <w:rFonts w:hint="eastAsia"/>
          <w:shd w:val="clear" w:color="auto" w:fill="FFFFFF"/>
        </w:rPr>
        <w:t>3</w:t>
      </w:r>
      <w:r w:rsidRPr="008309F3">
        <w:rPr>
          <w:rFonts w:hint="eastAsia"/>
          <w:shd w:val="clear" w:color="auto" w:fill="FFFFFF"/>
        </w:rPr>
        <w:t>亿。中国的老龄化现象越来越严重，养老计划却饱受群众诟病。“</w:t>
      </w:r>
      <w:r w:rsidRPr="008309F3">
        <w:rPr>
          <w:rFonts w:hint="eastAsia"/>
          <w:shd w:val="clear" w:color="auto" w:fill="FFFFFF"/>
        </w:rPr>
        <w:t>421</w:t>
      </w:r>
      <w:r w:rsidRPr="008309F3">
        <w:rPr>
          <w:rFonts w:hint="eastAsia"/>
          <w:shd w:val="clear" w:color="auto" w:fill="FFFFFF"/>
        </w:rPr>
        <w:t>”的家庭模式使家庭养老变得越来越困难。“双轨制”缴纳养老保险又广受诟病，“以房养老”受到住房产权等</w:t>
      </w:r>
      <w:r w:rsidRPr="008309F3">
        <w:rPr>
          <w:rFonts w:hint="eastAsia"/>
          <w:shd w:val="clear" w:color="auto" w:fill="FFFFFF"/>
        </w:rPr>
        <w:t>70</w:t>
      </w:r>
      <w:r w:rsidRPr="008309F3">
        <w:rPr>
          <w:rFonts w:hint="eastAsia"/>
          <w:shd w:val="clear" w:color="auto" w:fill="FFFFFF"/>
        </w:rPr>
        <w:t>年的限制等等。从最初的家庭养老到社会养老再到住房养老，养老已经成为中国一大难题，并且这个难题随着老龄化现象的严重和养老金的亏空而日益明显。</w:t>
      </w:r>
    </w:p>
    <w:p w14:paraId="082E3D38" w14:textId="77777777" w:rsidR="00F20EE6" w:rsidRPr="008309F3" w:rsidRDefault="00F20EE6" w:rsidP="00F20EE6">
      <w:pPr>
        <w:ind w:firstLine="420"/>
        <w:rPr>
          <w:shd w:val="clear" w:color="auto" w:fill="FFFFFF"/>
        </w:rPr>
      </w:pPr>
    </w:p>
    <w:p w14:paraId="70EF557F" w14:textId="77777777" w:rsidR="00F20EE6" w:rsidRPr="008309F3" w:rsidRDefault="00F20EE6" w:rsidP="00F20EE6">
      <w:pPr>
        <w:ind w:firstLine="420"/>
        <w:rPr>
          <w:shd w:val="clear" w:color="auto" w:fill="FFFFFF"/>
        </w:rPr>
      </w:pPr>
      <w:r w:rsidRPr="008309F3">
        <w:rPr>
          <w:rFonts w:hint="eastAsia"/>
          <w:shd w:val="clear" w:color="auto" w:fill="FFFFFF"/>
        </w:rPr>
        <w:t>很多年轻人选择基金定投、商业养老保险等方式提前规划养老金。如果能够引进</w:t>
      </w:r>
      <w:proofErr w:type="spellStart"/>
      <w:r w:rsidRPr="008309F3">
        <w:rPr>
          <w:rFonts w:hint="eastAsia"/>
          <w:shd w:val="clear" w:color="auto" w:fill="FFFFFF"/>
        </w:rPr>
        <w:t>Wealthfront</w:t>
      </w:r>
      <w:proofErr w:type="spellEnd"/>
      <w:r w:rsidRPr="008309F3">
        <w:rPr>
          <w:rFonts w:hint="eastAsia"/>
          <w:shd w:val="clear" w:color="auto" w:fill="FFFFFF"/>
        </w:rPr>
        <w:t>的管理养老账户的方式，在劳动力年轻时就将一部分资金投入到多样化的</w:t>
      </w:r>
      <w:r w:rsidRPr="008309F3">
        <w:rPr>
          <w:rFonts w:hint="eastAsia"/>
          <w:shd w:val="clear" w:color="auto" w:fill="FFFFFF"/>
        </w:rPr>
        <w:t>ETF</w:t>
      </w:r>
      <w:r w:rsidRPr="008309F3">
        <w:rPr>
          <w:rFonts w:hint="eastAsia"/>
          <w:shd w:val="clear" w:color="auto" w:fill="FFFFFF"/>
        </w:rPr>
        <w:t>中，年老后获得收益，而且，</w:t>
      </w:r>
      <w:proofErr w:type="spellStart"/>
      <w:r w:rsidRPr="008309F3">
        <w:rPr>
          <w:rFonts w:hint="eastAsia"/>
          <w:shd w:val="clear" w:color="auto" w:fill="FFFFFF"/>
        </w:rPr>
        <w:t>Wealthfront</w:t>
      </w:r>
      <w:proofErr w:type="spellEnd"/>
      <w:r w:rsidRPr="008309F3">
        <w:rPr>
          <w:rFonts w:hint="eastAsia"/>
          <w:shd w:val="clear" w:color="auto" w:fill="FFFFFF"/>
        </w:rPr>
        <w:t>的投资门槛低，低廉的费用完全在工薪阶层的接受范围之内，这在一定程度上解决</w:t>
      </w:r>
      <w:proofErr w:type="gramStart"/>
      <w:r w:rsidRPr="008309F3">
        <w:rPr>
          <w:rFonts w:hint="eastAsia"/>
          <w:shd w:val="clear" w:color="auto" w:fill="FFFFFF"/>
        </w:rPr>
        <w:t>养老难</w:t>
      </w:r>
      <w:proofErr w:type="gramEnd"/>
      <w:r w:rsidRPr="008309F3">
        <w:rPr>
          <w:rFonts w:hint="eastAsia"/>
          <w:shd w:val="clear" w:color="auto" w:fill="FFFFFF"/>
        </w:rPr>
        <w:t>的问题。</w:t>
      </w:r>
    </w:p>
    <w:p w14:paraId="28AFE645" w14:textId="77777777" w:rsidR="00F20EE6" w:rsidRDefault="00F20EE6" w:rsidP="00F20EE6">
      <w:pPr>
        <w:ind w:firstLine="420"/>
        <w:rPr>
          <w:shd w:val="clear" w:color="auto" w:fill="FFFFFF"/>
        </w:rPr>
      </w:pPr>
      <w:r w:rsidRPr="008309F3">
        <w:rPr>
          <w:rFonts w:hint="eastAsia"/>
          <w:shd w:val="clear" w:color="auto" w:fill="FFFFFF"/>
        </w:rPr>
        <w:t>因此，</w:t>
      </w:r>
      <w:proofErr w:type="spellStart"/>
      <w:r w:rsidRPr="008309F3">
        <w:rPr>
          <w:rFonts w:hint="eastAsia"/>
          <w:shd w:val="clear" w:color="auto" w:fill="FFFFFF"/>
        </w:rPr>
        <w:t>Wealthfront</w:t>
      </w:r>
      <w:proofErr w:type="spellEnd"/>
      <w:r w:rsidRPr="008309F3">
        <w:rPr>
          <w:rFonts w:hint="eastAsia"/>
          <w:shd w:val="clear" w:color="auto" w:fill="FFFFFF"/>
        </w:rPr>
        <w:t>可以利用互联网金融低成本优势，满足了中等收入群体的理财需求以及养老需求，对于像</w:t>
      </w:r>
      <w:proofErr w:type="spellStart"/>
      <w:r w:rsidRPr="008309F3">
        <w:rPr>
          <w:rFonts w:hint="eastAsia"/>
          <w:shd w:val="clear" w:color="auto" w:fill="FFFFFF"/>
        </w:rPr>
        <w:t>Wealthfront</w:t>
      </w:r>
      <w:proofErr w:type="spellEnd"/>
      <w:r w:rsidRPr="008309F3">
        <w:rPr>
          <w:rFonts w:hint="eastAsia"/>
          <w:shd w:val="clear" w:color="auto" w:fill="FFFFFF"/>
        </w:rPr>
        <w:t>一样的批量化在线理财工具进入中国是一个机遇。</w:t>
      </w:r>
    </w:p>
    <w:p w14:paraId="7F21A5BA" w14:textId="77777777" w:rsidR="00F20EE6" w:rsidRPr="008309F3" w:rsidRDefault="00F20EE6" w:rsidP="00F20EE6">
      <w:pPr>
        <w:ind w:firstLine="420"/>
        <w:rPr>
          <w:shd w:val="clear" w:color="auto" w:fill="FFFFFF"/>
        </w:rPr>
      </w:pPr>
    </w:p>
    <w:p w14:paraId="48DFC768" w14:textId="77777777" w:rsidR="00F20EE6" w:rsidRDefault="00F20EE6" w:rsidP="00F20EE6">
      <w:pPr>
        <w:ind w:firstLine="420"/>
        <w:rPr>
          <w:shd w:val="clear" w:color="auto" w:fill="FFFFFF"/>
        </w:rPr>
      </w:pPr>
      <w:r>
        <w:rPr>
          <w:rFonts w:hint="eastAsia"/>
          <w:shd w:val="clear" w:color="auto" w:fill="FFFFFF"/>
        </w:rPr>
        <w:t>（二）</w:t>
      </w:r>
      <w:r w:rsidRPr="008309F3">
        <w:rPr>
          <w:rFonts w:hint="eastAsia"/>
          <w:shd w:val="clear" w:color="auto" w:fill="FFFFFF"/>
        </w:rPr>
        <w:t>挑战：</w:t>
      </w:r>
      <w:r>
        <w:rPr>
          <w:rFonts w:hint="eastAsia"/>
          <w:shd w:val="clear" w:color="auto" w:fill="FFFFFF"/>
        </w:rPr>
        <w:t>监管有风险，</w:t>
      </w:r>
      <w:r w:rsidRPr="008309F3">
        <w:rPr>
          <w:rFonts w:hint="eastAsia"/>
          <w:shd w:val="clear" w:color="auto" w:fill="FFFFFF"/>
        </w:rPr>
        <w:t>投资受限，金融市场不成熟</w:t>
      </w:r>
    </w:p>
    <w:p w14:paraId="4BF1BDEB" w14:textId="77777777" w:rsidR="00F20EE6" w:rsidRPr="00A93BD9" w:rsidRDefault="00F20EE6" w:rsidP="00F20EE6">
      <w:pPr>
        <w:ind w:firstLine="420"/>
        <w:rPr>
          <w:b/>
          <w:shd w:val="clear" w:color="auto" w:fill="FFFFFF"/>
        </w:rPr>
      </w:pPr>
      <w:r>
        <w:rPr>
          <w:rFonts w:hint="eastAsia"/>
          <w:shd w:val="clear" w:color="auto" w:fill="FFFFFF"/>
        </w:rPr>
        <w:t>1</w:t>
      </w:r>
      <w:r>
        <w:rPr>
          <w:rFonts w:hint="eastAsia"/>
          <w:shd w:val="clear" w:color="auto" w:fill="FFFFFF"/>
        </w:rPr>
        <w:t>）从监管政策角度出发，国内对投资顾问和资产管理业务分开管理，适用不同的法律法规，《证券、期货投资咨询管理办法》中就有明确的条款，“证券、期货投资咨询机构及其投资咨询人员，不得从事下列活动：（一）代理投资人从事证券、期货买卖”。虽然《账户管理业务规则（征求意见稿）》体现了投资顾问可以涉足资产管理业务的趋势，但是尚未正式实施，而且已有的规定表明，通过互联网平台投资需要先有产品再有资金，不然涉及资金池和非法集资。另外，中美税收制度的差异，国内对于买卖股票所得增值收入征收的是个人所得税，难以进行税收抵免。此外，</w:t>
      </w:r>
      <w:r w:rsidRPr="00A93BD9">
        <w:rPr>
          <w:rFonts w:hint="eastAsia"/>
          <w:shd w:val="clear" w:color="auto" w:fill="FFFFFF"/>
        </w:rPr>
        <w:t>虽然国内尚没有出台有关互联网金融方面的监管法规，但</w:t>
      </w:r>
      <w:r w:rsidRPr="00A93BD9">
        <w:rPr>
          <w:rFonts w:hint="eastAsia"/>
          <w:shd w:val="clear" w:color="auto" w:fill="FFFFFF"/>
        </w:rPr>
        <w:lastRenderedPageBreak/>
        <w:t>是央行等监管机构对于互联网金融创新采取比较谨慎观察的态度，一旦</w:t>
      </w:r>
      <w:proofErr w:type="spellStart"/>
      <w:r w:rsidRPr="00A93BD9">
        <w:rPr>
          <w:rFonts w:hint="eastAsia"/>
          <w:shd w:val="clear" w:color="auto" w:fill="FFFFFF"/>
        </w:rPr>
        <w:t>Wealthfront</w:t>
      </w:r>
      <w:proofErr w:type="spellEnd"/>
      <w:r w:rsidRPr="00A93BD9">
        <w:rPr>
          <w:rFonts w:hint="eastAsia"/>
          <w:shd w:val="clear" w:color="auto" w:fill="FFFFFF"/>
        </w:rPr>
        <w:t>模式在中国发展过于迅猛，很有可能遭致监管机构的关注和限制。另外，根据现有的法律，</w:t>
      </w:r>
      <w:proofErr w:type="spellStart"/>
      <w:r w:rsidRPr="00A93BD9">
        <w:rPr>
          <w:rFonts w:hint="eastAsia"/>
          <w:shd w:val="clear" w:color="auto" w:fill="FFFFFF"/>
        </w:rPr>
        <w:t>Wealthfront</w:t>
      </w:r>
      <w:proofErr w:type="spellEnd"/>
      <w:r w:rsidRPr="00A93BD9">
        <w:rPr>
          <w:rFonts w:hint="eastAsia"/>
          <w:shd w:val="clear" w:color="auto" w:fill="FFFFFF"/>
        </w:rPr>
        <w:t>的经营模式在国内有被认为是非法集资的风险。</w:t>
      </w:r>
    </w:p>
    <w:p w14:paraId="140FB1BF" w14:textId="77777777" w:rsidR="00F20EE6" w:rsidRDefault="00F20EE6" w:rsidP="00F20EE6">
      <w:pPr>
        <w:ind w:firstLine="420"/>
        <w:rPr>
          <w:shd w:val="clear" w:color="auto" w:fill="FFFFFF"/>
        </w:rPr>
      </w:pPr>
      <w:r>
        <w:rPr>
          <w:rFonts w:hint="eastAsia"/>
          <w:shd w:val="clear" w:color="auto" w:fill="FFFFFF"/>
        </w:rPr>
        <w:t>2</w:t>
      </w:r>
      <w:r>
        <w:rPr>
          <w:rFonts w:hint="eastAsia"/>
          <w:shd w:val="clear" w:color="auto" w:fill="FFFFFF"/>
        </w:rPr>
        <w:t>）从资产角度来看，国内</w:t>
      </w:r>
      <w:r>
        <w:rPr>
          <w:rFonts w:hint="eastAsia"/>
          <w:shd w:val="clear" w:color="auto" w:fill="FFFFFF"/>
        </w:rPr>
        <w:t>ETF</w:t>
      </w:r>
      <w:r>
        <w:rPr>
          <w:rFonts w:hint="eastAsia"/>
          <w:shd w:val="clear" w:color="auto" w:fill="FFFFFF"/>
        </w:rPr>
        <w:t>规模较小，数量少，据</w:t>
      </w:r>
      <w:r>
        <w:rPr>
          <w:rFonts w:hint="eastAsia"/>
          <w:shd w:val="clear" w:color="auto" w:fill="FFFFFF"/>
        </w:rPr>
        <w:t>wind</w:t>
      </w:r>
      <w:r>
        <w:rPr>
          <w:rFonts w:hint="eastAsia"/>
          <w:shd w:val="clear" w:color="auto" w:fill="FFFFFF"/>
        </w:rPr>
        <w:t>的不完全统计，截至</w:t>
      </w:r>
      <w:r>
        <w:rPr>
          <w:rFonts w:hint="eastAsia"/>
          <w:shd w:val="clear" w:color="auto" w:fill="FFFFFF"/>
        </w:rPr>
        <w:t>2016</w:t>
      </w:r>
      <w:r>
        <w:rPr>
          <w:rFonts w:hint="eastAsia"/>
          <w:shd w:val="clear" w:color="auto" w:fill="FFFFFF"/>
        </w:rPr>
        <w:t>年</w:t>
      </w:r>
      <w:r>
        <w:rPr>
          <w:rFonts w:hint="eastAsia"/>
          <w:shd w:val="clear" w:color="auto" w:fill="FFFFFF"/>
        </w:rPr>
        <w:t>3</w:t>
      </w:r>
      <w:r>
        <w:rPr>
          <w:rFonts w:hint="eastAsia"/>
          <w:shd w:val="clear" w:color="auto" w:fill="FFFFFF"/>
        </w:rPr>
        <w:t>月初大约有</w:t>
      </w:r>
      <w:r>
        <w:rPr>
          <w:rFonts w:hint="eastAsia"/>
          <w:shd w:val="clear" w:color="auto" w:fill="FFFFFF"/>
        </w:rPr>
        <w:t>120</w:t>
      </w:r>
      <w:r>
        <w:rPr>
          <w:rFonts w:hint="eastAsia"/>
          <w:shd w:val="clear" w:color="auto" w:fill="FFFFFF"/>
        </w:rPr>
        <w:t>只</w:t>
      </w:r>
      <w:r>
        <w:rPr>
          <w:rFonts w:hint="eastAsia"/>
          <w:shd w:val="clear" w:color="auto" w:fill="FFFFFF"/>
        </w:rPr>
        <w:t>ETF</w:t>
      </w:r>
      <w:r>
        <w:rPr>
          <w:rFonts w:hint="eastAsia"/>
          <w:shd w:val="clear" w:color="auto" w:fill="FFFFFF"/>
        </w:rPr>
        <w:t>，规模不到</w:t>
      </w:r>
      <w:r>
        <w:rPr>
          <w:rFonts w:hint="eastAsia"/>
          <w:shd w:val="clear" w:color="auto" w:fill="FFFFFF"/>
        </w:rPr>
        <w:t>2000</w:t>
      </w:r>
      <w:r>
        <w:rPr>
          <w:rFonts w:hint="eastAsia"/>
          <w:shd w:val="clear" w:color="auto" w:fill="FFFFFF"/>
        </w:rPr>
        <w:t>亿元，而且主要是传统的指数型</w:t>
      </w:r>
      <w:r>
        <w:rPr>
          <w:rFonts w:hint="eastAsia"/>
          <w:shd w:val="clear" w:color="auto" w:fill="FFFFFF"/>
        </w:rPr>
        <w:t>ETF</w:t>
      </w:r>
      <w:r>
        <w:rPr>
          <w:rFonts w:hint="eastAsia"/>
          <w:shd w:val="clear" w:color="auto" w:fill="FFFFFF"/>
        </w:rPr>
        <w:t>，债券型</w:t>
      </w:r>
      <w:r>
        <w:rPr>
          <w:rFonts w:hint="eastAsia"/>
          <w:shd w:val="clear" w:color="auto" w:fill="FFFFFF"/>
        </w:rPr>
        <w:t>ETF</w:t>
      </w:r>
      <w:r>
        <w:rPr>
          <w:rFonts w:hint="eastAsia"/>
          <w:shd w:val="clear" w:color="auto" w:fill="FFFFFF"/>
        </w:rPr>
        <w:t>、商品型</w:t>
      </w:r>
      <w:r>
        <w:rPr>
          <w:rFonts w:hint="eastAsia"/>
          <w:shd w:val="clear" w:color="auto" w:fill="FFFFFF"/>
        </w:rPr>
        <w:t>ETF</w:t>
      </w:r>
      <w:r>
        <w:rPr>
          <w:rFonts w:hint="eastAsia"/>
          <w:shd w:val="clear" w:color="auto" w:fill="FFFFFF"/>
        </w:rPr>
        <w:t>等较少。因此，</w:t>
      </w:r>
      <w:r w:rsidRPr="008309F3">
        <w:rPr>
          <w:rFonts w:hint="eastAsia"/>
          <w:shd w:val="clear" w:color="auto" w:fill="FFFFFF"/>
        </w:rPr>
        <w:t>投资数量和种类都无法与国外抗衡，种类少就难以分散风险。另外，</w:t>
      </w:r>
      <w:r w:rsidRPr="008309F3">
        <w:rPr>
          <w:rFonts w:hint="eastAsia"/>
          <w:shd w:val="clear" w:color="auto" w:fill="FFFFFF"/>
        </w:rPr>
        <w:t>ETF</w:t>
      </w:r>
      <w:r w:rsidRPr="008309F3">
        <w:rPr>
          <w:rFonts w:hint="eastAsia"/>
          <w:shd w:val="clear" w:color="auto" w:fill="FFFFFF"/>
        </w:rPr>
        <w:t>以各类指数为标的，能获取稳定收益的前提是金融市场的成熟，除去金融危机等特殊情况的影响，股票市场和其他金融市场每年应当随着</w:t>
      </w:r>
      <w:r w:rsidRPr="008309F3">
        <w:rPr>
          <w:rFonts w:hint="eastAsia"/>
          <w:shd w:val="clear" w:color="auto" w:fill="FFFFFF"/>
        </w:rPr>
        <w:t>GDP</w:t>
      </w:r>
      <w:r w:rsidRPr="008309F3">
        <w:rPr>
          <w:rFonts w:hint="eastAsia"/>
          <w:shd w:val="clear" w:color="auto" w:fill="FFFFFF"/>
        </w:rPr>
        <w:t>的增长而大致呈增长趋势，而中国的股市变动强烈，</w:t>
      </w:r>
      <w:r w:rsidRPr="008309F3">
        <w:rPr>
          <w:rFonts w:hint="eastAsia"/>
          <w:shd w:val="clear" w:color="auto" w:fill="FFFFFF"/>
        </w:rPr>
        <w:t>ETF</w:t>
      </w:r>
      <w:r w:rsidRPr="008309F3">
        <w:rPr>
          <w:rFonts w:hint="eastAsia"/>
          <w:shd w:val="clear" w:color="auto" w:fill="FFFFFF"/>
        </w:rPr>
        <w:t>以此为标的难以获取稳定收益。中国金融市场的不成熟，</w:t>
      </w:r>
      <w:proofErr w:type="spellStart"/>
      <w:r w:rsidRPr="008309F3">
        <w:rPr>
          <w:rFonts w:hint="eastAsia"/>
          <w:shd w:val="clear" w:color="auto" w:fill="FFFFFF"/>
        </w:rPr>
        <w:t>Wealthfront</w:t>
      </w:r>
      <w:proofErr w:type="spellEnd"/>
      <w:r w:rsidRPr="008309F3">
        <w:rPr>
          <w:rFonts w:hint="eastAsia"/>
          <w:shd w:val="clear" w:color="auto" w:fill="FFFFFF"/>
        </w:rPr>
        <w:t>类型的投资合理性存在质疑。</w:t>
      </w:r>
    </w:p>
    <w:p w14:paraId="3922A9E7" w14:textId="77777777" w:rsidR="00F20EE6" w:rsidRDefault="00F20EE6" w:rsidP="00F20EE6">
      <w:pPr>
        <w:ind w:firstLine="420"/>
        <w:rPr>
          <w:shd w:val="clear" w:color="auto" w:fill="FFFFFF"/>
        </w:rPr>
      </w:pPr>
      <w:r>
        <w:rPr>
          <w:rFonts w:hint="eastAsia"/>
          <w:shd w:val="clear" w:color="auto" w:fill="FFFFFF"/>
        </w:rPr>
        <w:t>3</w:t>
      </w:r>
      <w:r>
        <w:rPr>
          <w:rFonts w:hint="eastAsia"/>
          <w:shd w:val="clear" w:color="auto" w:fill="FFFFFF"/>
        </w:rPr>
        <w:t>）就资本市场环境和投资用户心态而言，国内投机性强，价值投资者稀少。</w:t>
      </w:r>
    </w:p>
    <w:p w14:paraId="01DCE1A2" w14:textId="77777777" w:rsidR="00F20EE6" w:rsidRPr="00792C5D" w:rsidRDefault="00F20EE6" w:rsidP="00F20EE6">
      <w:pPr>
        <w:ind w:firstLine="420"/>
        <w:rPr>
          <w:shd w:val="clear" w:color="auto" w:fill="FFFFFF"/>
        </w:rPr>
      </w:pPr>
      <w:r w:rsidRPr="008309F3">
        <w:rPr>
          <w:rFonts w:hint="eastAsia"/>
          <w:shd w:val="clear" w:color="auto" w:fill="FFFFFF"/>
        </w:rPr>
        <w:t>总之，</w:t>
      </w:r>
      <w:proofErr w:type="spellStart"/>
      <w:r w:rsidRPr="008309F3">
        <w:rPr>
          <w:rFonts w:hint="eastAsia"/>
          <w:shd w:val="clear" w:color="auto" w:fill="FFFFFF"/>
        </w:rPr>
        <w:t>Wealthfront</w:t>
      </w:r>
      <w:proofErr w:type="spellEnd"/>
      <w:r w:rsidRPr="008309F3">
        <w:rPr>
          <w:rFonts w:hint="eastAsia"/>
          <w:shd w:val="clear" w:color="auto" w:fill="FFFFFF"/>
        </w:rPr>
        <w:t>模式可为处于社会及家庭双重重压的中国中产阶级提供更低成本，更高品质的理财服务，为解决养老问题提供新的思路，但其在美国的模式不能完全复制到中国，至于做出何种改变就要依靠于创业者的智慧了。</w:t>
      </w:r>
    </w:p>
    <w:p w14:paraId="5760D00C" w14:textId="77777777" w:rsidR="00E87647" w:rsidRPr="00F20EE6" w:rsidRDefault="00657934">
      <w:pPr>
        <w:ind w:firstLine="420"/>
      </w:pPr>
    </w:p>
    <w:sectPr w:rsidR="00E87647" w:rsidRPr="00F20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844A0" w14:textId="77777777" w:rsidR="00657934" w:rsidRDefault="00657934" w:rsidP="00F20EE6">
      <w:pPr>
        <w:ind w:firstLine="420"/>
      </w:pPr>
      <w:r>
        <w:separator/>
      </w:r>
    </w:p>
  </w:endnote>
  <w:endnote w:type="continuationSeparator" w:id="0">
    <w:p w14:paraId="31B125B9" w14:textId="77777777" w:rsidR="00657934" w:rsidRDefault="00657934" w:rsidP="00F20EE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74934" w14:textId="77777777" w:rsidR="00657934" w:rsidRDefault="00657934" w:rsidP="00F20EE6">
      <w:pPr>
        <w:ind w:firstLine="420"/>
      </w:pPr>
      <w:r>
        <w:separator/>
      </w:r>
    </w:p>
  </w:footnote>
  <w:footnote w:type="continuationSeparator" w:id="0">
    <w:p w14:paraId="0F4D50C9" w14:textId="77777777" w:rsidR="00657934" w:rsidRDefault="00657934" w:rsidP="00F20EE6">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D1"/>
    <w:rsid w:val="00195FD1"/>
    <w:rsid w:val="001F3278"/>
    <w:rsid w:val="00485D99"/>
    <w:rsid w:val="004D028F"/>
    <w:rsid w:val="00657934"/>
    <w:rsid w:val="007C177D"/>
    <w:rsid w:val="00973D9A"/>
    <w:rsid w:val="00974282"/>
    <w:rsid w:val="00B545BC"/>
    <w:rsid w:val="00F20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26289C-4DC2-45CA-A869-00275F50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0EE6"/>
    <w:pPr>
      <w:widowControl w:val="0"/>
      <w:ind w:firstLineChars="200" w:firstLine="200"/>
      <w:jc w:val="both"/>
    </w:pPr>
    <w:rPr>
      <w:rFonts w:ascii="Times New Roman" w:eastAsia="微软雅黑" w:hAnsi="Times New Roman"/>
    </w:rPr>
  </w:style>
  <w:style w:type="paragraph" w:styleId="1">
    <w:name w:val="heading 1"/>
    <w:basedOn w:val="a"/>
    <w:next w:val="a"/>
    <w:link w:val="10"/>
    <w:uiPriority w:val="9"/>
    <w:qFormat/>
    <w:rsid w:val="00F20EE6"/>
    <w:pPr>
      <w:keepNext/>
      <w:keepLines/>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EE6"/>
    <w:pPr>
      <w:pBdr>
        <w:bottom w:val="single" w:sz="6" w:space="1" w:color="auto"/>
      </w:pBdr>
      <w:tabs>
        <w:tab w:val="center" w:pos="4153"/>
        <w:tab w:val="right" w:pos="8306"/>
      </w:tabs>
      <w:snapToGrid w:val="0"/>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F20EE6"/>
    <w:rPr>
      <w:sz w:val="18"/>
      <w:szCs w:val="18"/>
    </w:rPr>
  </w:style>
  <w:style w:type="paragraph" w:styleId="a5">
    <w:name w:val="footer"/>
    <w:basedOn w:val="a"/>
    <w:link w:val="a6"/>
    <w:uiPriority w:val="99"/>
    <w:unhideWhenUsed/>
    <w:rsid w:val="00F20EE6"/>
    <w:pPr>
      <w:tabs>
        <w:tab w:val="center" w:pos="4153"/>
        <w:tab w:val="right" w:pos="8306"/>
      </w:tabs>
      <w:snapToGrid w:val="0"/>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F20EE6"/>
    <w:rPr>
      <w:sz w:val="18"/>
      <w:szCs w:val="18"/>
    </w:rPr>
  </w:style>
  <w:style w:type="character" w:customStyle="1" w:styleId="10">
    <w:name w:val="标题 1 字符"/>
    <w:basedOn w:val="a0"/>
    <w:link w:val="1"/>
    <w:uiPriority w:val="9"/>
    <w:rsid w:val="00F20EE6"/>
    <w:rPr>
      <w:rFonts w:ascii="Times New Roman" w:eastAsia="微软雅黑" w:hAnsi="Times New Roman"/>
      <w:b/>
      <w:bCs/>
      <w:kern w:val="44"/>
      <w:sz w:val="30"/>
      <w:szCs w:val="44"/>
    </w:rPr>
  </w:style>
  <w:style w:type="paragraph" w:styleId="a7">
    <w:name w:val="caption"/>
    <w:basedOn w:val="a"/>
    <w:next w:val="a"/>
    <w:uiPriority w:val="35"/>
    <w:unhideWhenUsed/>
    <w:qFormat/>
    <w:rsid w:val="00F20EE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microsoft.com/office/2007/relationships/diagramDrawing" Target="diagrams/drawing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footnotes" Target="footnotes.xml"/><Relationship Id="rId9" Type="http://schemas.openxmlformats.org/officeDocument/2006/relationships/diagramLayout" Target="diagrams/layout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6B92D2-10A6-4B9A-918E-F918BE8F4E33}" type="doc">
      <dgm:prSet loTypeId="urn:microsoft.com/office/officeart/2005/8/layout/process1" loCatId="process" qsTypeId="urn:microsoft.com/office/officeart/2005/8/quickstyle/simple1" qsCatId="simple" csTypeId="urn:microsoft.com/office/officeart/2005/8/colors/colorful1" csCatId="colorful" phldr="1"/>
      <dgm:spPr/>
    </dgm:pt>
    <dgm:pt modelId="{5176A9EC-8473-450B-8051-1A0DF18F08A2}">
      <dgm:prSet phldrT="[文本]"/>
      <dgm:spPr/>
      <dgm:t>
        <a:bodyPr/>
        <a:lstStyle/>
        <a:p>
          <a:r>
            <a:rPr lang="zh-CN" altLang="en-US"/>
            <a:t>计算客户的风险偏好</a:t>
          </a:r>
        </a:p>
      </dgm:t>
    </dgm:pt>
    <dgm:pt modelId="{F1A9B447-E557-4CE5-8E01-324EB1E1AABB}" type="parTrans" cxnId="{7AB9F30E-D57B-413B-A2D2-6D330B90A9B0}">
      <dgm:prSet/>
      <dgm:spPr/>
      <dgm:t>
        <a:bodyPr/>
        <a:lstStyle/>
        <a:p>
          <a:endParaRPr lang="zh-CN" altLang="en-US"/>
        </a:p>
      </dgm:t>
    </dgm:pt>
    <dgm:pt modelId="{F225D7C9-9FFD-440D-AE85-774D87D47342}" type="sibTrans" cxnId="{7AB9F30E-D57B-413B-A2D2-6D330B90A9B0}">
      <dgm:prSet/>
      <dgm:spPr/>
      <dgm:t>
        <a:bodyPr/>
        <a:lstStyle/>
        <a:p>
          <a:endParaRPr lang="zh-CN" altLang="en-US"/>
        </a:p>
      </dgm:t>
    </dgm:pt>
    <dgm:pt modelId="{94DA33BE-9FED-478C-AA10-7BCF1206134C}">
      <dgm:prSet phldrT="[文本]"/>
      <dgm:spPr/>
      <dgm:t>
        <a:bodyPr/>
        <a:lstStyle/>
        <a:p>
          <a:r>
            <a:rPr lang="zh-CN" altLang="en-US"/>
            <a:t>推荐合适该用户的投资组合</a:t>
          </a:r>
        </a:p>
      </dgm:t>
    </dgm:pt>
    <dgm:pt modelId="{E2A4F000-E85D-4AA1-A0D3-81418D2A47E3}" type="parTrans" cxnId="{7582C875-FFA0-47E6-95BE-ACB0F8E242A1}">
      <dgm:prSet/>
      <dgm:spPr/>
      <dgm:t>
        <a:bodyPr/>
        <a:lstStyle/>
        <a:p>
          <a:endParaRPr lang="zh-CN" altLang="en-US"/>
        </a:p>
      </dgm:t>
    </dgm:pt>
    <dgm:pt modelId="{E4C4224D-E07B-4507-94D7-35A311474873}" type="sibTrans" cxnId="{7582C875-FFA0-47E6-95BE-ACB0F8E242A1}">
      <dgm:prSet/>
      <dgm:spPr/>
      <dgm:t>
        <a:bodyPr/>
        <a:lstStyle/>
        <a:p>
          <a:endParaRPr lang="zh-CN" altLang="en-US"/>
        </a:p>
      </dgm:t>
    </dgm:pt>
    <dgm:pt modelId="{38BE856C-DE6E-4A77-9A4E-9C50A21CCEF9}">
      <dgm:prSet phldrT="[文本]"/>
      <dgm:spPr/>
      <dgm:t>
        <a:bodyPr/>
        <a:lstStyle/>
        <a:p>
          <a:r>
            <a:rPr lang="zh-CN" altLang="en-US"/>
            <a:t>资金转入第三方托管</a:t>
          </a:r>
        </a:p>
      </dgm:t>
    </dgm:pt>
    <dgm:pt modelId="{5796BE7F-8116-47BA-8B4B-1F2D107B2075}" type="parTrans" cxnId="{177B4834-1703-4449-9280-26129C2D36C7}">
      <dgm:prSet/>
      <dgm:spPr/>
      <dgm:t>
        <a:bodyPr/>
        <a:lstStyle/>
        <a:p>
          <a:endParaRPr lang="zh-CN" altLang="en-US"/>
        </a:p>
      </dgm:t>
    </dgm:pt>
    <dgm:pt modelId="{1E3F8EC9-52F6-4683-AC33-A9C294BEC038}" type="sibTrans" cxnId="{177B4834-1703-4449-9280-26129C2D36C7}">
      <dgm:prSet/>
      <dgm:spPr/>
      <dgm:t>
        <a:bodyPr/>
        <a:lstStyle/>
        <a:p>
          <a:endParaRPr lang="zh-CN" altLang="en-US"/>
        </a:p>
      </dgm:t>
    </dgm:pt>
    <dgm:pt modelId="{393804BB-E0E2-4452-B933-77EA23C770FE}">
      <dgm:prSet phldrT="[文本]"/>
      <dgm:spPr/>
      <dgm:t>
        <a:bodyPr/>
        <a:lstStyle/>
        <a:p>
          <a:r>
            <a:rPr lang="zh-CN" altLang="en-US"/>
            <a:t>代理客户购买投资组合</a:t>
          </a:r>
        </a:p>
      </dgm:t>
    </dgm:pt>
    <dgm:pt modelId="{CA4D3CA4-2024-4D0B-AFF8-BC9719331212}" type="parTrans" cxnId="{1A41E20F-8B0E-4966-8351-7424A4F6FE2D}">
      <dgm:prSet/>
      <dgm:spPr/>
      <dgm:t>
        <a:bodyPr/>
        <a:lstStyle/>
        <a:p>
          <a:endParaRPr lang="zh-CN" altLang="en-US"/>
        </a:p>
      </dgm:t>
    </dgm:pt>
    <dgm:pt modelId="{2F2D1C61-AD46-481F-8E48-D90593FB113F}" type="sibTrans" cxnId="{1A41E20F-8B0E-4966-8351-7424A4F6FE2D}">
      <dgm:prSet/>
      <dgm:spPr/>
      <dgm:t>
        <a:bodyPr/>
        <a:lstStyle/>
        <a:p>
          <a:endParaRPr lang="zh-CN" altLang="en-US"/>
        </a:p>
      </dgm:t>
    </dgm:pt>
    <dgm:pt modelId="{646A8724-A66F-42D3-A5B6-4B0F598004DE}">
      <dgm:prSet phldrT="[文本]"/>
      <dgm:spPr/>
      <dgm:t>
        <a:bodyPr/>
        <a:lstStyle/>
        <a:p>
          <a:r>
            <a:rPr lang="zh-CN" altLang="en-US"/>
            <a:t>每月收取账户</a:t>
          </a:r>
          <a:r>
            <a:rPr lang="en-US" altLang="zh-CN"/>
            <a:t>0.25%</a:t>
          </a:r>
          <a:r>
            <a:rPr lang="zh-CN" altLang="en-US"/>
            <a:t>费用</a:t>
          </a:r>
        </a:p>
      </dgm:t>
    </dgm:pt>
    <dgm:pt modelId="{886D4A5B-1E50-4D6E-BBFF-B884E779CFAD}" type="parTrans" cxnId="{B464D526-950D-4F74-B9D8-D73507105EB4}">
      <dgm:prSet/>
      <dgm:spPr/>
      <dgm:t>
        <a:bodyPr/>
        <a:lstStyle/>
        <a:p>
          <a:endParaRPr lang="zh-CN" altLang="en-US"/>
        </a:p>
      </dgm:t>
    </dgm:pt>
    <dgm:pt modelId="{2209EECF-8E37-430C-8D54-F57795CF3837}" type="sibTrans" cxnId="{B464D526-950D-4F74-B9D8-D73507105EB4}">
      <dgm:prSet/>
      <dgm:spPr/>
      <dgm:t>
        <a:bodyPr/>
        <a:lstStyle/>
        <a:p>
          <a:endParaRPr lang="zh-CN" altLang="en-US"/>
        </a:p>
      </dgm:t>
    </dgm:pt>
    <dgm:pt modelId="{2CFC3DE8-E8C2-483C-B948-E93C6FFF54BE}" type="pres">
      <dgm:prSet presAssocID="{BE6B92D2-10A6-4B9A-918E-F918BE8F4E33}" presName="Name0" presStyleCnt="0">
        <dgm:presLayoutVars>
          <dgm:dir/>
          <dgm:resizeHandles val="exact"/>
        </dgm:presLayoutVars>
      </dgm:prSet>
      <dgm:spPr/>
    </dgm:pt>
    <dgm:pt modelId="{23EFBEBF-7E4B-4AB4-8EBB-15E1ECEB4596}" type="pres">
      <dgm:prSet presAssocID="{5176A9EC-8473-450B-8051-1A0DF18F08A2}" presName="node" presStyleLbl="node1" presStyleIdx="0" presStyleCnt="5">
        <dgm:presLayoutVars>
          <dgm:bulletEnabled val="1"/>
        </dgm:presLayoutVars>
      </dgm:prSet>
      <dgm:spPr/>
    </dgm:pt>
    <dgm:pt modelId="{FD7FE4B4-AFCF-471E-9C56-05B856193249}" type="pres">
      <dgm:prSet presAssocID="{F225D7C9-9FFD-440D-AE85-774D87D47342}" presName="sibTrans" presStyleLbl="sibTrans2D1" presStyleIdx="0" presStyleCnt="4"/>
      <dgm:spPr/>
    </dgm:pt>
    <dgm:pt modelId="{BE68E1D6-80CF-4808-8803-1185D33B1418}" type="pres">
      <dgm:prSet presAssocID="{F225D7C9-9FFD-440D-AE85-774D87D47342}" presName="connectorText" presStyleLbl="sibTrans2D1" presStyleIdx="0" presStyleCnt="4"/>
      <dgm:spPr/>
    </dgm:pt>
    <dgm:pt modelId="{5C77321F-5198-479D-AFFA-C6B0675F01E3}" type="pres">
      <dgm:prSet presAssocID="{94DA33BE-9FED-478C-AA10-7BCF1206134C}" presName="node" presStyleLbl="node1" presStyleIdx="1" presStyleCnt="5">
        <dgm:presLayoutVars>
          <dgm:bulletEnabled val="1"/>
        </dgm:presLayoutVars>
      </dgm:prSet>
      <dgm:spPr/>
    </dgm:pt>
    <dgm:pt modelId="{0BFE6CB3-D841-43F5-8AD8-4FE956655EA7}" type="pres">
      <dgm:prSet presAssocID="{E4C4224D-E07B-4507-94D7-35A311474873}" presName="sibTrans" presStyleLbl="sibTrans2D1" presStyleIdx="1" presStyleCnt="4"/>
      <dgm:spPr/>
    </dgm:pt>
    <dgm:pt modelId="{D3A3D1F6-6017-48AB-9940-37DF7A805BC4}" type="pres">
      <dgm:prSet presAssocID="{E4C4224D-E07B-4507-94D7-35A311474873}" presName="connectorText" presStyleLbl="sibTrans2D1" presStyleIdx="1" presStyleCnt="4"/>
      <dgm:spPr/>
    </dgm:pt>
    <dgm:pt modelId="{A5A47A93-C266-4009-A2DC-49B53D4BB68E}" type="pres">
      <dgm:prSet presAssocID="{38BE856C-DE6E-4A77-9A4E-9C50A21CCEF9}" presName="node" presStyleLbl="node1" presStyleIdx="2" presStyleCnt="5">
        <dgm:presLayoutVars>
          <dgm:bulletEnabled val="1"/>
        </dgm:presLayoutVars>
      </dgm:prSet>
      <dgm:spPr/>
    </dgm:pt>
    <dgm:pt modelId="{90184E8F-F7C6-4604-BDB1-8E238849CB05}" type="pres">
      <dgm:prSet presAssocID="{1E3F8EC9-52F6-4683-AC33-A9C294BEC038}" presName="sibTrans" presStyleLbl="sibTrans2D1" presStyleIdx="2" presStyleCnt="4"/>
      <dgm:spPr/>
    </dgm:pt>
    <dgm:pt modelId="{BC4CABA8-F23E-446B-B4F6-2D67FBBDBF82}" type="pres">
      <dgm:prSet presAssocID="{1E3F8EC9-52F6-4683-AC33-A9C294BEC038}" presName="connectorText" presStyleLbl="sibTrans2D1" presStyleIdx="2" presStyleCnt="4"/>
      <dgm:spPr/>
    </dgm:pt>
    <dgm:pt modelId="{FE956312-E556-4E58-8FFB-5ACBF448E915}" type="pres">
      <dgm:prSet presAssocID="{393804BB-E0E2-4452-B933-77EA23C770FE}" presName="node" presStyleLbl="node1" presStyleIdx="3" presStyleCnt="5">
        <dgm:presLayoutVars>
          <dgm:bulletEnabled val="1"/>
        </dgm:presLayoutVars>
      </dgm:prSet>
      <dgm:spPr/>
    </dgm:pt>
    <dgm:pt modelId="{01ADC249-F20E-43F3-B690-505A518AC49B}" type="pres">
      <dgm:prSet presAssocID="{2F2D1C61-AD46-481F-8E48-D90593FB113F}" presName="sibTrans" presStyleLbl="sibTrans2D1" presStyleIdx="3" presStyleCnt="4"/>
      <dgm:spPr/>
    </dgm:pt>
    <dgm:pt modelId="{DD7DE845-2AC2-4EB6-83A4-AFA07FDF3951}" type="pres">
      <dgm:prSet presAssocID="{2F2D1C61-AD46-481F-8E48-D90593FB113F}" presName="connectorText" presStyleLbl="sibTrans2D1" presStyleIdx="3" presStyleCnt="4"/>
      <dgm:spPr/>
    </dgm:pt>
    <dgm:pt modelId="{49E9823B-D2DC-4A2E-BC9D-69DFEA65BACA}" type="pres">
      <dgm:prSet presAssocID="{646A8724-A66F-42D3-A5B6-4B0F598004DE}" presName="node" presStyleLbl="node1" presStyleIdx="4" presStyleCnt="5">
        <dgm:presLayoutVars>
          <dgm:bulletEnabled val="1"/>
        </dgm:presLayoutVars>
      </dgm:prSet>
      <dgm:spPr/>
    </dgm:pt>
  </dgm:ptLst>
  <dgm:cxnLst>
    <dgm:cxn modelId="{41581E04-3067-484E-9DE2-5B9306E5757E}" type="presOf" srcId="{393804BB-E0E2-4452-B933-77EA23C770FE}" destId="{FE956312-E556-4E58-8FFB-5ACBF448E915}" srcOrd="0" destOrd="0" presId="urn:microsoft.com/office/officeart/2005/8/layout/process1"/>
    <dgm:cxn modelId="{7AB9F30E-D57B-413B-A2D2-6D330B90A9B0}" srcId="{BE6B92D2-10A6-4B9A-918E-F918BE8F4E33}" destId="{5176A9EC-8473-450B-8051-1A0DF18F08A2}" srcOrd="0" destOrd="0" parTransId="{F1A9B447-E557-4CE5-8E01-324EB1E1AABB}" sibTransId="{F225D7C9-9FFD-440D-AE85-774D87D47342}"/>
    <dgm:cxn modelId="{1A41E20F-8B0E-4966-8351-7424A4F6FE2D}" srcId="{BE6B92D2-10A6-4B9A-918E-F918BE8F4E33}" destId="{393804BB-E0E2-4452-B933-77EA23C770FE}" srcOrd="3" destOrd="0" parTransId="{CA4D3CA4-2024-4D0B-AFF8-BC9719331212}" sibTransId="{2F2D1C61-AD46-481F-8E48-D90593FB113F}"/>
    <dgm:cxn modelId="{63137323-F23B-4BB3-B8C6-091485569334}" type="presOf" srcId="{2F2D1C61-AD46-481F-8E48-D90593FB113F}" destId="{DD7DE845-2AC2-4EB6-83A4-AFA07FDF3951}" srcOrd="1" destOrd="0" presId="urn:microsoft.com/office/officeart/2005/8/layout/process1"/>
    <dgm:cxn modelId="{73F84525-7451-4733-BDAF-F8DD06FE8EC9}" type="presOf" srcId="{E4C4224D-E07B-4507-94D7-35A311474873}" destId="{D3A3D1F6-6017-48AB-9940-37DF7A805BC4}" srcOrd="1" destOrd="0" presId="urn:microsoft.com/office/officeart/2005/8/layout/process1"/>
    <dgm:cxn modelId="{B464D526-950D-4F74-B9D8-D73507105EB4}" srcId="{BE6B92D2-10A6-4B9A-918E-F918BE8F4E33}" destId="{646A8724-A66F-42D3-A5B6-4B0F598004DE}" srcOrd="4" destOrd="0" parTransId="{886D4A5B-1E50-4D6E-BBFF-B884E779CFAD}" sibTransId="{2209EECF-8E37-430C-8D54-F57795CF3837}"/>
    <dgm:cxn modelId="{177B4834-1703-4449-9280-26129C2D36C7}" srcId="{BE6B92D2-10A6-4B9A-918E-F918BE8F4E33}" destId="{38BE856C-DE6E-4A77-9A4E-9C50A21CCEF9}" srcOrd="2" destOrd="0" parTransId="{5796BE7F-8116-47BA-8B4B-1F2D107B2075}" sibTransId="{1E3F8EC9-52F6-4683-AC33-A9C294BEC038}"/>
    <dgm:cxn modelId="{E98B453E-C40F-4551-A0D0-1AF355151E5C}" type="presOf" srcId="{94DA33BE-9FED-478C-AA10-7BCF1206134C}" destId="{5C77321F-5198-479D-AFFA-C6B0675F01E3}" srcOrd="0" destOrd="0" presId="urn:microsoft.com/office/officeart/2005/8/layout/process1"/>
    <dgm:cxn modelId="{EBF37B5B-F640-4CBF-8A81-EEB20167A9F5}" type="presOf" srcId="{1E3F8EC9-52F6-4683-AC33-A9C294BEC038}" destId="{BC4CABA8-F23E-446B-B4F6-2D67FBBDBF82}" srcOrd="1" destOrd="0" presId="urn:microsoft.com/office/officeart/2005/8/layout/process1"/>
    <dgm:cxn modelId="{CAB7BE51-3BAA-4ED0-9A8E-CE1D533B7514}" type="presOf" srcId="{E4C4224D-E07B-4507-94D7-35A311474873}" destId="{0BFE6CB3-D841-43F5-8AD8-4FE956655EA7}" srcOrd="0" destOrd="0" presId="urn:microsoft.com/office/officeart/2005/8/layout/process1"/>
    <dgm:cxn modelId="{9A2F7354-D351-481C-BD6B-E2B61E246811}" type="presOf" srcId="{F225D7C9-9FFD-440D-AE85-774D87D47342}" destId="{BE68E1D6-80CF-4808-8803-1185D33B1418}" srcOrd="1" destOrd="0" presId="urn:microsoft.com/office/officeart/2005/8/layout/process1"/>
    <dgm:cxn modelId="{7582C875-FFA0-47E6-95BE-ACB0F8E242A1}" srcId="{BE6B92D2-10A6-4B9A-918E-F918BE8F4E33}" destId="{94DA33BE-9FED-478C-AA10-7BCF1206134C}" srcOrd="1" destOrd="0" parTransId="{E2A4F000-E85D-4AA1-A0D3-81418D2A47E3}" sibTransId="{E4C4224D-E07B-4507-94D7-35A311474873}"/>
    <dgm:cxn modelId="{CC065588-E6E1-4E3D-A912-A99D5263E745}" type="presOf" srcId="{F225D7C9-9FFD-440D-AE85-774D87D47342}" destId="{FD7FE4B4-AFCF-471E-9C56-05B856193249}" srcOrd="0" destOrd="0" presId="urn:microsoft.com/office/officeart/2005/8/layout/process1"/>
    <dgm:cxn modelId="{78F47D8A-4895-4103-90D1-72CF83019544}" type="presOf" srcId="{5176A9EC-8473-450B-8051-1A0DF18F08A2}" destId="{23EFBEBF-7E4B-4AB4-8EBB-15E1ECEB4596}" srcOrd="0" destOrd="0" presId="urn:microsoft.com/office/officeart/2005/8/layout/process1"/>
    <dgm:cxn modelId="{DF26BEA0-BE17-4DA7-ABDD-E8365DA69E29}" type="presOf" srcId="{38BE856C-DE6E-4A77-9A4E-9C50A21CCEF9}" destId="{A5A47A93-C266-4009-A2DC-49B53D4BB68E}" srcOrd="0" destOrd="0" presId="urn:microsoft.com/office/officeart/2005/8/layout/process1"/>
    <dgm:cxn modelId="{B23FE1CF-C7D7-418E-AC11-DCE922BE416F}" type="presOf" srcId="{646A8724-A66F-42D3-A5B6-4B0F598004DE}" destId="{49E9823B-D2DC-4A2E-BC9D-69DFEA65BACA}" srcOrd="0" destOrd="0" presId="urn:microsoft.com/office/officeart/2005/8/layout/process1"/>
    <dgm:cxn modelId="{6EE3ABD5-034B-4FBA-9252-4B8403471086}" type="presOf" srcId="{1E3F8EC9-52F6-4683-AC33-A9C294BEC038}" destId="{90184E8F-F7C6-4604-BDB1-8E238849CB05}" srcOrd="0" destOrd="0" presId="urn:microsoft.com/office/officeart/2005/8/layout/process1"/>
    <dgm:cxn modelId="{0266E8F4-2869-493E-AF47-0B503B72B5AF}" type="presOf" srcId="{BE6B92D2-10A6-4B9A-918E-F918BE8F4E33}" destId="{2CFC3DE8-E8C2-483C-B948-E93C6FFF54BE}" srcOrd="0" destOrd="0" presId="urn:microsoft.com/office/officeart/2005/8/layout/process1"/>
    <dgm:cxn modelId="{BAB91FFA-A998-4E50-9D38-DE1B55978164}" type="presOf" srcId="{2F2D1C61-AD46-481F-8E48-D90593FB113F}" destId="{01ADC249-F20E-43F3-B690-505A518AC49B}" srcOrd="0" destOrd="0" presId="urn:microsoft.com/office/officeart/2005/8/layout/process1"/>
    <dgm:cxn modelId="{12178D99-BACA-4FE8-B261-0F1F541FCF5D}" type="presParOf" srcId="{2CFC3DE8-E8C2-483C-B948-E93C6FFF54BE}" destId="{23EFBEBF-7E4B-4AB4-8EBB-15E1ECEB4596}" srcOrd="0" destOrd="0" presId="urn:microsoft.com/office/officeart/2005/8/layout/process1"/>
    <dgm:cxn modelId="{6E7F5ED5-3E0E-4DD4-94DA-A175A582C7FC}" type="presParOf" srcId="{2CFC3DE8-E8C2-483C-B948-E93C6FFF54BE}" destId="{FD7FE4B4-AFCF-471E-9C56-05B856193249}" srcOrd="1" destOrd="0" presId="urn:microsoft.com/office/officeart/2005/8/layout/process1"/>
    <dgm:cxn modelId="{32875114-0D90-4396-8313-BC0560187DF1}" type="presParOf" srcId="{FD7FE4B4-AFCF-471E-9C56-05B856193249}" destId="{BE68E1D6-80CF-4808-8803-1185D33B1418}" srcOrd="0" destOrd="0" presId="urn:microsoft.com/office/officeart/2005/8/layout/process1"/>
    <dgm:cxn modelId="{8E9C9C31-9166-44FD-B841-389541EC5E25}" type="presParOf" srcId="{2CFC3DE8-E8C2-483C-B948-E93C6FFF54BE}" destId="{5C77321F-5198-479D-AFFA-C6B0675F01E3}" srcOrd="2" destOrd="0" presId="urn:microsoft.com/office/officeart/2005/8/layout/process1"/>
    <dgm:cxn modelId="{4EAA8BC5-4EFA-4D85-A35E-D29F48F5059C}" type="presParOf" srcId="{2CFC3DE8-E8C2-483C-B948-E93C6FFF54BE}" destId="{0BFE6CB3-D841-43F5-8AD8-4FE956655EA7}" srcOrd="3" destOrd="0" presId="urn:microsoft.com/office/officeart/2005/8/layout/process1"/>
    <dgm:cxn modelId="{6D88A174-DDF4-4F37-8283-F1E6DC863F2C}" type="presParOf" srcId="{0BFE6CB3-D841-43F5-8AD8-4FE956655EA7}" destId="{D3A3D1F6-6017-48AB-9940-37DF7A805BC4}" srcOrd="0" destOrd="0" presId="urn:microsoft.com/office/officeart/2005/8/layout/process1"/>
    <dgm:cxn modelId="{7E885881-F2C3-466B-9480-6CFD56122D0E}" type="presParOf" srcId="{2CFC3DE8-E8C2-483C-B948-E93C6FFF54BE}" destId="{A5A47A93-C266-4009-A2DC-49B53D4BB68E}" srcOrd="4" destOrd="0" presId="urn:microsoft.com/office/officeart/2005/8/layout/process1"/>
    <dgm:cxn modelId="{85A4C04F-8D94-40E3-A7B3-3F058F99E062}" type="presParOf" srcId="{2CFC3DE8-E8C2-483C-B948-E93C6FFF54BE}" destId="{90184E8F-F7C6-4604-BDB1-8E238849CB05}" srcOrd="5" destOrd="0" presId="urn:microsoft.com/office/officeart/2005/8/layout/process1"/>
    <dgm:cxn modelId="{B7443EF9-9025-46A8-B096-3E8CC898501C}" type="presParOf" srcId="{90184E8F-F7C6-4604-BDB1-8E238849CB05}" destId="{BC4CABA8-F23E-446B-B4F6-2D67FBBDBF82}" srcOrd="0" destOrd="0" presId="urn:microsoft.com/office/officeart/2005/8/layout/process1"/>
    <dgm:cxn modelId="{EE55A442-0C75-4A70-8FCE-226218D53AFD}" type="presParOf" srcId="{2CFC3DE8-E8C2-483C-B948-E93C6FFF54BE}" destId="{FE956312-E556-4E58-8FFB-5ACBF448E915}" srcOrd="6" destOrd="0" presId="urn:microsoft.com/office/officeart/2005/8/layout/process1"/>
    <dgm:cxn modelId="{411529E9-73FC-495E-96AF-A8BF8F20ACEA}" type="presParOf" srcId="{2CFC3DE8-E8C2-483C-B948-E93C6FFF54BE}" destId="{01ADC249-F20E-43F3-B690-505A518AC49B}" srcOrd="7" destOrd="0" presId="urn:microsoft.com/office/officeart/2005/8/layout/process1"/>
    <dgm:cxn modelId="{002F2FE0-7C1B-4ACB-8936-4D83A8BD901B}" type="presParOf" srcId="{01ADC249-F20E-43F3-B690-505A518AC49B}" destId="{DD7DE845-2AC2-4EB6-83A4-AFA07FDF3951}" srcOrd="0" destOrd="0" presId="urn:microsoft.com/office/officeart/2005/8/layout/process1"/>
    <dgm:cxn modelId="{50BBC78C-98F8-4D7D-8CF8-7126CFA53444}" type="presParOf" srcId="{2CFC3DE8-E8C2-483C-B948-E93C6FFF54BE}" destId="{49E9823B-D2DC-4A2E-BC9D-69DFEA65BACA}"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EFBEBF-7E4B-4AB4-8EBB-15E1ECEB4596}">
      <dsp:nvSpPr>
        <dsp:cNvPr id="0" name=""/>
        <dsp:cNvSpPr/>
      </dsp:nvSpPr>
      <dsp:spPr>
        <a:xfrm>
          <a:off x="2575" y="271112"/>
          <a:ext cx="798357" cy="117227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计算客户的风险偏好</a:t>
          </a:r>
        </a:p>
      </dsp:txBody>
      <dsp:txXfrm>
        <a:off x="25958" y="294495"/>
        <a:ext cx="751591" cy="1125509"/>
      </dsp:txXfrm>
    </dsp:sp>
    <dsp:sp modelId="{FD7FE4B4-AFCF-471E-9C56-05B856193249}">
      <dsp:nvSpPr>
        <dsp:cNvPr id="0" name=""/>
        <dsp:cNvSpPr/>
      </dsp:nvSpPr>
      <dsp:spPr>
        <a:xfrm>
          <a:off x="880768" y="758253"/>
          <a:ext cx="169251" cy="197992"/>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797851"/>
        <a:ext cx="118476" cy="118796"/>
      </dsp:txXfrm>
    </dsp:sp>
    <dsp:sp modelId="{5C77321F-5198-479D-AFFA-C6B0675F01E3}">
      <dsp:nvSpPr>
        <dsp:cNvPr id="0" name=""/>
        <dsp:cNvSpPr/>
      </dsp:nvSpPr>
      <dsp:spPr>
        <a:xfrm>
          <a:off x="1120275" y="271112"/>
          <a:ext cx="798357" cy="117227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推荐合适该用户的投资组合</a:t>
          </a:r>
        </a:p>
      </dsp:txBody>
      <dsp:txXfrm>
        <a:off x="1143658" y="294495"/>
        <a:ext cx="751591" cy="1125509"/>
      </dsp:txXfrm>
    </dsp:sp>
    <dsp:sp modelId="{0BFE6CB3-D841-43F5-8AD8-4FE956655EA7}">
      <dsp:nvSpPr>
        <dsp:cNvPr id="0" name=""/>
        <dsp:cNvSpPr/>
      </dsp:nvSpPr>
      <dsp:spPr>
        <a:xfrm>
          <a:off x="1998469" y="758253"/>
          <a:ext cx="169251" cy="19799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797851"/>
        <a:ext cx="118476" cy="118796"/>
      </dsp:txXfrm>
    </dsp:sp>
    <dsp:sp modelId="{A5A47A93-C266-4009-A2DC-49B53D4BB68E}">
      <dsp:nvSpPr>
        <dsp:cNvPr id="0" name=""/>
        <dsp:cNvSpPr/>
      </dsp:nvSpPr>
      <dsp:spPr>
        <a:xfrm>
          <a:off x="2237976" y="271112"/>
          <a:ext cx="798357" cy="117227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资金转入第三方托管</a:t>
          </a:r>
        </a:p>
      </dsp:txBody>
      <dsp:txXfrm>
        <a:off x="2261359" y="294495"/>
        <a:ext cx="751591" cy="1125509"/>
      </dsp:txXfrm>
    </dsp:sp>
    <dsp:sp modelId="{90184E8F-F7C6-4604-BDB1-8E238849CB05}">
      <dsp:nvSpPr>
        <dsp:cNvPr id="0" name=""/>
        <dsp:cNvSpPr/>
      </dsp:nvSpPr>
      <dsp:spPr>
        <a:xfrm>
          <a:off x="3116169" y="758253"/>
          <a:ext cx="169251" cy="19799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797851"/>
        <a:ext cx="118476" cy="118796"/>
      </dsp:txXfrm>
    </dsp:sp>
    <dsp:sp modelId="{FE956312-E556-4E58-8FFB-5ACBF448E915}">
      <dsp:nvSpPr>
        <dsp:cNvPr id="0" name=""/>
        <dsp:cNvSpPr/>
      </dsp:nvSpPr>
      <dsp:spPr>
        <a:xfrm>
          <a:off x="3355676" y="271112"/>
          <a:ext cx="798357" cy="117227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代理客户购买投资组合</a:t>
          </a:r>
        </a:p>
      </dsp:txBody>
      <dsp:txXfrm>
        <a:off x="3379059" y="294495"/>
        <a:ext cx="751591" cy="1125509"/>
      </dsp:txXfrm>
    </dsp:sp>
    <dsp:sp modelId="{01ADC249-F20E-43F3-B690-505A518AC49B}">
      <dsp:nvSpPr>
        <dsp:cNvPr id="0" name=""/>
        <dsp:cNvSpPr/>
      </dsp:nvSpPr>
      <dsp:spPr>
        <a:xfrm>
          <a:off x="4233869" y="758253"/>
          <a:ext cx="169251" cy="19799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797851"/>
        <a:ext cx="118476" cy="118796"/>
      </dsp:txXfrm>
    </dsp:sp>
    <dsp:sp modelId="{49E9823B-D2DC-4A2E-BC9D-69DFEA65BACA}">
      <dsp:nvSpPr>
        <dsp:cNvPr id="0" name=""/>
        <dsp:cNvSpPr/>
      </dsp:nvSpPr>
      <dsp:spPr>
        <a:xfrm>
          <a:off x="4473377" y="271112"/>
          <a:ext cx="798357" cy="117227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每月收取账户</a:t>
          </a:r>
          <a:r>
            <a:rPr lang="en-US" altLang="zh-CN" sz="1600" kern="1200"/>
            <a:t>0.25%</a:t>
          </a:r>
          <a:r>
            <a:rPr lang="zh-CN" altLang="en-US" sz="1600" kern="1200"/>
            <a:t>费用</a:t>
          </a:r>
        </a:p>
      </dsp:txBody>
      <dsp:txXfrm>
        <a:off x="4496760" y="294495"/>
        <a:ext cx="751591" cy="112550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Aurora</cp:lastModifiedBy>
  <cp:revision>3</cp:revision>
  <dcterms:created xsi:type="dcterms:W3CDTF">2018-10-03T03:59:00Z</dcterms:created>
  <dcterms:modified xsi:type="dcterms:W3CDTF">2018-10-03T04:00:00Z</dcterms:modified>
</cp:coreProperties>
</file>