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SpringBoot 配置详解</w:t>
      </w:r>
    </w:p>
    <w:p>
      <w:pPr>
        <w:pStyle w:val="Heading1"/>
      </w:pPr>
      <w:r>
        <w:t>1. 核心配置文件</w:t>
      </w:r>
    </w:p>
    <w:p>
      <w:r>
        <w:t>SpringBoot 支持两种配置文件格式：properties 和 yaml。推荐使用 yaml 格式，因为结构清晰、可读性好。</w:t>
      </w:r>
    </w:p>
    <w:p>
      <w:pPr>
        <w:pStyle w:val="Heading2"/>
      </w:pPr>
      <w:r>
        <w:t>1.1 application.yml 基础配置</w:t>
      </w:r>
    </w:p>
    <w:p>
      <w:r>
        <w:t>常用配置项包括：服务端口 server.port、应用名称 spring.application.name、数据源配置 spring.datasource.* 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配置项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默认值</w:t>
            </w:r>
          </w:p>
        </w:tc>
      </w:tr>
      <w:tr>
        <w:tc>
          <w:tcPr>
            <w:tcW w:type="dxa" w:w="2880"/>
          </w:tcPr>
          <w:p>
            <w:r>
              <w:t>server.port</w:t>
            </w:r>
          </w:p>
        </w:tc>
        <w:tc>
          <w:tcPr>
            <w:tcW w:type="dxa" w:w="2880"/>
          </w:tcPr>
          <w:p>
            <w:r>
              <w:t>服务端口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</w:tr>
      <w:tr>
        <w:tc>
          <w:tcPr>
            <w:tcW w:type="dxa" w:w="2880"/>
          </w:tcPr>
          <w:p>
            <w:r>
              <w:t>spring.application.name</w:t>
            </w:r>
          </w:p>
        </w:tc>
        <w:tc>
          <w:tcPr>
            <w:tcW w:type="dxa" w:w="2880"/>
          </w:tcPr>
          <w:p>
            <w:r>
              <w:t>应用名称</w:t>
            </w:r>
          </w:p>
        </w:tc>
        <w:tc>
          <w:tcPr>
            <w:tcW w:type="dxa" w:w="2880"/>
          </w:tcPr>
          <w:p>
            <w:r>
              <w:t>application</w:t>
            </w:r>
          </w:p>
        </w:tc>
      </w:tr>
      <w:tr>
        <w:tc>
          <w:tcPr>
            <w:tcW w:type="dxa" w:w="2880"/>
          </w:tcPr>
          <w:p>
            <w:r>
              <w:t>spring.datasource.url</w:t>
            </w:r>
          </w:p>
        </w:tc>
        <w:tc>
          <w:tcPr>
            <w:tcW w:type="dxa" w:w="2880"/>
          </w:tcPr>
          <w:p>
            <w:r>
              <w:t>数据库连接URL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1"/>
      </w:pPr>
      <w:r>
        <w:t>2. 自动装配原理</w:t>
      </w:r>
    </w:p>
    <w:p>
      <w:r>
        <w:t>SpringBoot 自动装配基于 @EnableAutoConfiguration 注解，它会导入 AutoConfigurationImportSelector 来加载 META-INF/spring.factories 中定义的配置类。</w:t>
      </w:r>
    </w:p>
    <w:p>
      <w:pPr>
        <w:pStyle w:val="Heading2"/>
      </w:pPr>
      <w:r>
        <w:t>2.1 条件装配注解</w:t>
      </w:r>
    </w:p>
    <w:p>
      <w:r>
        <w:t>常用的条件注解：@ConditionalOnClass（类路径存在时装配）、@ConditionalOnMissingBean（容器无该 Bean 时装配）、@ConditionalOnProperty（配置属性满足条件时装配）。</w:t>
      </w:r>
    </w:p>
    <w:p>
      <w:pPr>
        <w:pStyle w:val="Heading1"/>
      </w:pPr>
      <w:r>
        <w:t>3. 自定义 Starter 开发</w:t>
      </w:r>
    </w:p>
    <w:p>
      <w:r>
        <w:t>开发自定义 Starter 的步骤：1. 创建配置类用 @ConfigurationProperties 绑定属性；2. 创建自动配置类用 @Configuration 和条件注解；3. 在 spring.factories 中注册自动配置类；4. 打包发布到本地仓库。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