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200" w:line="288"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200" w:line="288"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003">
      <w:pPr>
        <w:pageBreakBefore w:val="0"/>
        <w:numPr>
          <w:ilvl w:val="0"/>
          <w:numId w:val="1"/>
        </w:numPr>
        <w:pBdr>
          <w:top w:space="0" w:sz="0" w:val="nil"/>
          <w:left w:space="0" w:sz="0" w:val="nil"/>
          <w:bottom w:space="0" w:sz="0" w:val="nil"/>
          <w:right w:space="0" w:sz="0" w:val="nil"/>
          <w:between w:space="0" w:sz="0" w:val="nil"/>
        </w:pBdr>
        <w:shd w:fill="auto" w:val="clear"/>
        <w:spacing w:before="200" w:line="288" w:lineRule="auto"/>
        <w:ind w:left="1440" w:hanging="360"/>
        <w:rPr>
          <w:b w:val="1"/>
          <w:bCs w:val="1"/>
          <w:sz w:val="28"/>
          <w:szCs w:val="28"/>
          <w:u w:val="none"/>
        </w:rPr>
      </w:pPr>
      <w:r w:rsidDel="00000000" w:rsidR="00000000" w:rsidRPr="00000000">
        <w:rPr>
          <w:b w:val="1"/>
          <w:bCs w:val="1"/>
          <w:sz w:val="28"/>
          <w:szCs w:val="28"/>
          <w:rtl w:val="0"/>
        </w:rPr>
        <w:t xml:space="preserve">Playbook summary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200" w:line="288" w:lineRule="auto"/>
        <w:rPr/>
      </w:pPr>
      <w:r w:rsidDel="00000000" w:rsidR="00000000" w:rsidRPr="00000000">
        <w:rPr>
          <w:rtl w:val="0"/>
        </w:rPr>
      </w:r>
    </w:p>
    <w:p w:rsidR="00000000" w:rsidDel="00000000" w:rsidP="00000000" w:rsidRDefault="00000000" w:rsidRPr="00000000" w14:paraId="00000005">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06">
      <w:pPr>
        <w:spacing w:after="240" w:before="240" w:lineRule="auto"/>
        <w:jc w:val="both"/>
        <w:rPr>
          <w:sz w:val="26"/>
          <w:szCs w:val="26"/>
        </w:rPr>
      </w:pPr>
      <w:r w:rsidDel="00000000" w:rsidR="00000000" w:rsidRPr="00000000">
        <w:rPr>
          <w:sz w:val="26"/>
          <w:szCs w:val="26"/>
          <w:rtl w:val="0"/>
        </w:rPr>
        <w:t xml:space="preserve">A SOAR playbook was developed to automate phishing incident response using Elastic Security, CrowdSec, and TheHive concepts. Suspicious PowerShell activity was detected through Winlogbeat logs in Elasticsearch. The workflow included threat validation, simulated IP blocking, and incident documentation. This exercise demonstrated automated response processes, SIEM monitoring, and SOC investigation techniques.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200" w:line="288" w:lineRule="auto"/>
        <w:rPr/>
      </w:pPr>
      <w:r w:rsidDel="00000000" w:rsidR="00000000" w:rsidRPr="00000000">
        <w:rPr>
          <w:rtl w:val="0"/>
        </w:rPr>
      </w:r>
    </w:p>
    <w:sectPr>
      <w:headerReference r:id="rId6" w:type="default"/>
      <w:headerReference r:id="rId7" w:type="first"/>
      <w:footerReference r:id="rId8" w:type="first"/>
      <w:pgSz w:h="15840" w:w="12240" w:orient="portrait"/>
      <w:pgMar w:bottom="720" w:top="720" w:left="1440" w:right="32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80" w:line="288" w:lineRule="auto"/>
      <w:rPr/>
    </w:pPr>
    <w:r w:rsidDel="00000000" w:rsidR="00000000" w:rsidRPr="00000000">
      <w:rPr>
        <w:rFonts w:ascii="Proxima Nova" w:cs="Proxima Nova" w:eastAsia="Proxima Nova" w:hAnsi="Proxima Nova"/>
        <w:color w:val="353744"/>
      </w:rPr>
      <w:drawing>
        <wp:inline distB="114300" distT="114300" distL="114300" distR="114300">
          <wp:extent cx="5943600" cy="635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80" w:lineRule="auto"/>
      <w:rPr/>
    </w:pPr>
    <w:r w:rsidDel="00000000" w:rsidR="00000000" w:rsidRPr="00000000">
      <w:rPr/>
      <w:drawing>
        <wp:inline distB="114300" distT="114300" distL="114300" distR="114300">
          <wp:extent cx="5943600" cy="635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88" w:lineRule="auto"/>
    </w:pPr>
    <w:rPr>
      <w:rFonts w:ascii="Proxima Nova" w:cs="Proxima Nova" w:eastAsia="Proxima Nova" w:hAnsi="Proxima Nova"/>
      <w:b w:val="1"/>
      <w:bCs w:val="1"/>
      <w:color w:val="353744"/>
    </w:rPr>
  </w:style>
  <w:style w:type="paragraph" w:styleId="Heading2">
    <w:name w:val="heading 2"/>
    <w:basedOn w:val="Normal"/>
    <w:next w:val="Normal"/>
    <w:pPr>
      <w:keepNext w:val="1"/>
      <w:keepLines w:val="1"/>
      <w:pageBreakBefore w:val="0"/>
      <w:spacing w:line="240" w:lineRule="auto"/>
    </w:pPr>
    <w:rPr>
      <w:rFonts w:ascii="Proxima Nova" w:cs="Proxima Nova" w:eastAsia="Proxima Nova" w:hAnsi="Proxima Nova"/>
      <w:color w:val="00ab44"/>
      <w:sz w:val="28"/>
      <w:szCs w:val="28"/>
    </w:rPr>
  </w:style>
  <w:style w:type="paragraph" w:styleId="Heading3">
    <w:name w:val="heading 3"/>
    <w:basedOn w:val="Normal"/>
    <w:next w:val="Normal"/>
    <w:pPr>
      <w:keepNext w:val="1"/>
      <w:keepLines w:val="1"/>
      <w:pageBreakBefore w:val="0"/>
      <w:spacing w:before="320" w:line="288" w:lineRule="auto"/>
    </w:pPr>
    <w:rPr>
      <w:rFonts w:ascii="Proxima Nova" w:cs="Proxima Nova" w:eastAsia="Proxima Nova" w:hAnsi="Proxima Nova"/>
      <w:b w:val="1"/>
      <w:bCs w:val="1"/>
      <w:color w:val="00ab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00" w:line="288" w:lineRule="auto"/>
    </w:pPr>
    <w:rPr>
      <w:rFonts w:ascii="Proxima Nova" w:cs="Proxima Nova" w:eastAsia="Proxima Nova" w:hAnsi="Proxima Nova"/>
      <w:color w:val="353744"/>
      <w:sz w:val="48"/>
      <w:szCs w:val="48"/>
    </w:rPr>
  </w:style>
  <w:style w:type="paragraph" w:styleId="Subtitle">
    <w:name w:val="Subtitle"/>
    <w:basedOn w:val="Normal"/>
    <w:next w:val="Normal"/>
    <w:pPr>
      <w:keepNext w:val="1"/>
      <w:keepLines w:val="1"/>
      <w:pageBreakBefore w:val="0"/>
      <w:spacing w:line="240" w:lineRule="auto"/>
    </w:pPr>
    <w:rPr>
      <w:rFonts w:ascii="Proxima Nova" w:cs="Proxima Nova" w:eastAsia="Proxima Nova" w:hAnsi="Proxima Nova"/>
      <w:color w:val="99999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