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EAC0" w14:textId="77777777" w:rsidR="00643C77" w:rsidRPr="00643C77" w:rsidRDefault="00643C77" w:rsidP="00AD726F">
      <w:pPr>
        <w:spacing w:after="0" w:line="360" w:lineRule="auto"/>
        <w:jc w:val="both"/>
        <w:rPr>
          <w:rFonts w:ascii="Century Gothic" w:hAnsi="Century Gothic"/>
          <w:b/>
          <w:bCs/>
        </w:rPr>
      </w:pPr>
      <w:r w:rsidRPr="00643C77">
        <w:rPr>
          <w:rFonts w:ascii="Century Gothic" w:hAnsi="Century Gothic"/>
          <w:b/>
          <w:bCs/>
        </w:rPr>
        <w:t>The Impact of Copyright Policy on Digital Inclusion and Internet Equity in Africa</w:t>
      </w:r>
    </w:p>
    <w:p w14:paraId="0A9BADE1" w14:textId="77777777" w:rsidR="00643C77" w:rsidRPr="00643C77" w:rsidRDefault="00643C77" w:rsidP="00AD726F">
      <w:pPr>
        <w:spacing w:after="0" w:line="360" w:lineRule="auto"/>
        <w:jc w:val="both"/>
        <w:rPr>
          <w:rFonts w:ascii="Century Gothic" w:hAnsi="Century Gothic"/>
          <w:b/>
          <w:bCs/>
        </w:rPr>
      </w:pPr>
    </w:p>
    <w:p w14:paraId="3817BD81" w14:textId="54C9FDA8" w:rsidR="00643C77" w:rsidRPr="00643C77" w:rsidRDefault="00643C77" w:rsidP="00AD726F">
      <w:pPr>
        <w:spacing w:after="0" w:line="360" w:lineRule="auto"/>
        <w:jc w:val="both"/>
        <w:rPr>
          <w:rFonts w:ascii="Century Gothic" w:hAnsi="Century Gothic"/>
          <w:b/>
          <w:bCs/>
        </w:rPr>
      </w:pPr>
      <w:r w:rsidRPr="00643C77">
        <w:rPr>
          <w:rFonts w:ascii="Century Gothic" w:hAnsi="Century Gothic"/>
          <w:b/>
          <w:bCs/>
        </w:rPr>
        <w:t>Concept</w:t>
      </w:r>
    </w:p>
    <w:p w14:paraId="01CDBCCF"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Copyright policy is a legal system designed to protect the rights of creators while allowing public access to knowledge and information. In the digital era, copyright regulation plays an important role because modern technologies make it easier to copy, share, and distribute content online. However, copyright law must maintain a balance between protecting intellectual property rights and ensuring access to educational and research materials (Okediji, 2018).</w:t>
      </w:r>
    </w:p>
    <w:p w14:paraId="4CD0F47D" w14:textId="77777777" w:rsidR="00643C77" w:rsidRPr="00643C77" w:rsidRDefault="00643C77" w:rsidP="00AD726F">
      <w:pPr>
        <w:spacing w:after="0" w:line="360" w:lineRule="auto"/>
        <w:jc w:val="both"/>
        <w:rPr>
          <w:rFonts w:ascii="Century Gothic" w:hAnsi="Century Gothic"/>
        </w:rPr>
      </w:pPr>
    </w:p>
    <w:p w14:paraId="07404E76"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Digital inclusion refers to the ability of individuals and communities to access and use digital technologies, the internet, and online information in a meaningful way. Internet equity focuses on fairness in the distribution of digital opportunities and knowledge resources. The relationship between copyright policy and digital inclusion lies in how intellectual property laws influence access to educational content, research materials, and digital knowledge resources.</w:t>
      </w:r>
    </w:p>
    <w:p w14:paraId="490EB053" w14:textId="77777777" w:rsidR="00643C77" w:rsidRPr="00643C77" w:rsidRDefault="00643C77" w:rsidP="00AD726F">
      <w:pPr>
        <w:spacing w:after="0" w:line="360" w:lineRule="auto"/>
        <w:jc w:val="both"/>
        <w:rPr>
          <w:rFonts w:ascii="Century Gothic" w:hAnsi="Century Gothic"/>
        </w:rPr>
      </w:pPr>
    </w:p>
    <w:p w14:paraId="3AB5FFAB" w14:textId="1DFDEEB0" w:rsidR="00643C77" w:rsidRPr="00643C77" w:rsidRDefault="00643C77" w:rsidP="00AD726F">
      <w:pPr>
        <w:spacing w:after="0" w:line="360" w:lineRule="auto"/>
        <w:jc w:val="both"/>
        <w:rPr>
          <w:rFonts w:ascii="Century Gothic" w:hAnsi="Century Gothic"/>
          <w:b/>
          <w:bCs/>
        </w:rPr>
      </w:pPr>
      <w:r w:rsidRPr="00643C77">
        <w:rPr>
          <w:rFonts w:ascii="Century Gothic" w:hAnsi="Century Gothic"/>
          <w:b/>
          <w:bCs/>
        </w:rPr>
        <w:t>Context of the Study</w:t>
      </w:r>
    </w:p>
    <w:p w14:paraId="731E0F9F"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Africa has experienced rapid growth in internet connectivity over the past two decades, mainly due to the expansion of mobile technology. Despite this progress, access to digital knowledge and educational materials remains uneven across the continent. Research shows that strict copyright regulation can limit access to textbooks, digital learning platforms, and academic publications, thereby contributing to educational inequality (Schonwetter et al., 2009/2010; Pistorius &amp; Mwim, 2019).</w:t>
      </w:r>
    </w:p>
    <w:p w14:paraId="634A320F" w14:textId="77777777" w:rsidR="00643C77" w:rsidRPr="00643C77" w:rsidRDefault="00643C77" w:rsidP="00AD726F">
      <w:pPr>
        <w:spacing w:after="0" w:line="360" w:lineRule="auto"/>
        <w:jc w:val="both"/>
        <w:rPr>
          <w:rFonts w:ascii="Century Gothic" w:hAnsi="Century Gothic"/>
        </w:rPr>
      </w:pPr>
    </w:p>
    <w:p w14:paraId="306F477C"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 xml:space="preserve">Copyright reform has become an important policy discussion in Africa, particularly in South Africa, where debates surrounding copyright amendment processes have focused on improving fair use provisions and educational </w:t>
      </w:r>
      <w:r w:rsidRPr="00643C77">
        <w:rPr>
          <w:rFonts w:ascii="Century Gothic" w:hAnsi="Century Gothic"/>
        </w:rPr>
        <w:lastRenderedPageBreak/>
        <w:t>exceptions (Beiter et al., 2022). International developments such as the Marrakesh Treaty aim to improve access to copyrighted materials for persons with visual impairments by promoting copyright flexibility and accessibility (Juma, 2022). The legal case of Blind SA v Minister of Trade, Industry and Competition (2022) further illustrates the growing judicial recognition of access-to-knowledge issues.</w:t>
      </w:r>
    </w:p>
    <w:p w14:paraId="38163850" w14:textId="77777777" w:rsidR="00643C77" w:rsidRPr="00643C77" w:rsidRDefault="00643C77" w:rsidP="00AD726F">
      <w:pPr>
        <w:spacing w:after="0" w:line="360" w:lineRule="auto"/>
        <w:jc w:val="both"/>
        <w:rPr>
          <w:rFonts w:ascii="Century Gothic" w:hAnsi="Century Gothic"/>
        </w:rPr>
      </w:pPr>
    </w:p>
    <w:p w14:paraId="477B2DDA"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At the same time, challenges such as digital piracy, enforcement limitations, and research publishing barriers continue to shape copyright policy debates in African countries such as Nigeria (Adetunji &amp; Okuonghae, n.d.). The digital divide in scholarly communication remains a major concern for African researchers seeking access to global academic knowledge (Rotich, 2018; Welesilassie et al., 2025).</w:t>
      </w:r>
    </w:p>
    <w:p w14:paraId="5B9AE766" w14:textId="77777777" w:rsidR="00643C77" w:rsidRPr="00643C77" w:rsidRDefault="00643C77" w:rsidP="00AD726F">
      <w:pPr>
        <w:spacing w:after="0" w:line="360" w:lineRule="auto"/>
        <w:jc w:val="both"/>
        <w:rPr>
          <w:rFonts w:ascii="Century Gothic" w:hAnsi="Century Gothic"/>
        </w:rPr>
      </w:pPr>
    </w:p>
    <w:p w14:paraId="46723B46" w14:textId="0973A1A7" w:rsidR="00643C77" w:rsidRPr="00643C77" w:rsidRDefault="00643C77" w:rsidP="00AD726F">
      <w:pPr>
        <w:spacing w:after="0" w:line="360" w:lineRule="auto"/>
        <w:jc w:val="both"/>
        <w:rPr>
          <w:rFonts w:ascii="Century Gothic" w:hAnsi="Century Gothic"/>
          <w:b/>
          <w:bCs/>
        </w:rPr>
      </w:pPr>
      <w:r w:rsidRPr="00643C77">
        <w:rPr>
          <w:rFonts w:ascii="Century Gothic" w:hAnsi="Century Gothic"/>
          <w:b/>
          <w:bCs/>
        </w:rPr>
        <w:t>Problem Statement</w:t>
      </w:r>
    </w:p>
    <w:p w14:paraId="2758C320"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Although internet access is increasing across Africa, many people still face difficulties in accessing affordable digital educational and research materials. In many cases, copyright policies tend to focus more on protecting content owners rather than balancing protection with public access to knowledge. As a result, strict copyright enforcement may unintentionally limit digital inclusion and internet equity by restricting the use of online learning materials, academic publications, and other digital resources needed for education and development. Despite international and regional efforts to promote access to knowledge, many African countries still face challenges in adapting copyright laws to local socio-economic conditions, creating the need to examine whether current copyright policies promote equitable digital participation or contribute to the digital divide in African societies.</w:t>
      </w:r>
    </w:p>
    <w:p w14:paraId="13425C2C" w14:textId="77777777" w:rsidR="00643C77" w:rsidRPr="00643C77" w:rsidRDefault="00643C77" w:rsidP="00AD726F">
      <w:pPr>
        <w:spacing w:after="0" w:line="360" w:lineRule="auto"/>
        <w:jc w:val="both"/>
        <w:rPr>
          <w:rFonts w:ascii="Century Gothic" w:hAnsi="Century Gothic"/>
        </w:rPr>
      </w:pPr>
    </w:p>
    <w:p w14:paraId="1228DA6F" w14:textId="4A03B59B" w:rsidR="00643C77" w:rsidRPr="00643C77" w:rsidRDefault="00643C77" w:rsidP="00AD726F">
      <w:pPr>
        <w:spacing w:after="0" w:line="360" w:lineRule="auto"/>
        <w:jc w:val="both"/>
        <w:rPr>
          <w:rFonts w:ascii="Century Gothic" w:hAnsi="Century Gothic"/>
          <w:b/>
          <w:bCs/>
        </w:rPr>
      </w:pPr>
      <w:r w:rsidRPr="00643C77">
        <w:rPr>
          <w:rFonts w:ascii="Century Gothic" w:hAnsi="Century Gothic"/>
          <w:b/>
          <w:bCs/>
        </w:rPr>
        <w:t>Significance of the Study</w:t>
      </w:r>
    </w:p>
    <w:p w14:paraId="44509A88"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 xml:space="preserve">This study is important because it examines how copyright policy affects access to digital knowledge in Africa. The research provides useful information </w:t>
      </w:r>
      <w:r w:rsidRPr="00643C77">
        <w:rPr>
          <w:rFonts w:ascii="Century Gothic" w:hAnsi="Century Gothic"/>
        </w:rPr>
        <w:lastRenderedPageBreak/>
        <w:t>for policymakers, educators, and legal experts working to improve copyright laws and promote digital inclusion.</w:t>
      </w:r>
    </w:p>
    <w:p w14:paraId="634534D0" w14:textId="77777777" w:rsidR="00643C77" w:rsidRPr="00643C77" w:rsidRDefault="00643C77" w:rsidP="00AD726F">
      <w:pPr>
        <w:spacing w:after="0" w:line="360" w:lineRule="auto"/>
        <w:jc w:val="both"/>
        <w:rPr>
          <w:rFonts w:ascii="Century Gothic" w:hAnsi="Century Gothic"/>
        </w:rPr>
      </w:pPr>
    </w:p>
    <w:p w14:paraId="7107EE7E" w14:textId="77777777" w:rsidR="00643C77" w:rsidRPr="00643C77" w:rsidRDefault="00643C77" w:rsidP="00AD726F">
      <w:pPr>
        <w:spacing w:after="0" w:line="360" w:lineRule="auto"/>
        <w:jc w:val="both"/>
        <w:rPr>
          <w:rFonts w:ascii="Century Gothic" w:hAnsi="Century Gothic"/>
        </w:rPr>
      </w:pPr>
      <w:r w:rsidRPr="00643C77">
        <w:rPr>
          <w:rFonts w:ascii="Century Gothic" w:hAnsi="Century Gothic"/>
        </w:rPr>
        <w:t>The study may help African countries design copyright policies that protect creators while also allowing people to access educational and research materials more easily. This is especially important for students, researchers, and low-income communities who depend on affordable or free online resources for learning.</w:t>
      </w:r>
    </w:p>
    <w:p w14:paraId="58555D4B" w14:textId="77777777" w:rsidR="00643C77" w:rsidRPr="00643C77" w:rsidRDefault="00643C77" w:rsidP="00AD726F">
      <w:pPr>
        <w:spacing w:after="0" w:line="360" w:lineRule="auto"/>
        <w:jc w:val="both"/>
        <w:rPr>
          <w:rFonts w:ascii="Century Gothic" w:hAnsi="Century Gothic"/>
        </w:rPr>
      </w:pPr>
    </w:p>
    <w:p w14:paraId="2CDF21D1" w14:textId="0F55F364" w:rsidR="002F27B7" w:rsidRDefault="00643C77" w:rsidP="00AD726F">
      <w:pPr>
        <w:spacing w:after="0" w:line="360" w:lineRule="auto"/>
        <w:jc w:val="both"/>
        <w:rPr>
          <w:rFonts w:ascii="Century Gothic" w:hAnsi="Century Gothic"/>
        </w:rPr>
      </w:pPr>
      <w:r w:rsidRPr="00643C77">
        <w:rPr>
          <w:rFonts w:ascii="Century Gothic" w:hAnsi="Century Gothic"/>
        </w:rPr>
        <w:t>The findings of this study may contribute to ongoing discussions on copyright reform and knowledge accessibility in Africa. Overall, the study aims to support the development of copyright systems that promote creativity while also improving digital inclusion and internet equity across African societies.</w:t>
      </w:r>
    </w:p>
    <w:p w14:paraId="5DC35B3D" w14:textId="77777777" w:rsidR="00241ED3" w:rsidRDefault="00241ED3" w:rsidP="00AD726F">
      <w:pPr>
        <w:spacing w:after="0" w:line="360" w:lineRule="auto"/>
        <w:jc w:val="both"/>
        <w:rPr>
          <w:rFonts w:ascii="Century Gothic" w:hAnsi="Century Gothic"/>
        </w:rPr>
      </w:pPr>
    </w:p>
    <w:p w14:paraId="79D0ACAF" w14:textId="77777777" w:rsidR="00241ED3" w:rsidRDefault="00241ED3">
      <w:pPr>
        <w:pStyle w:val="s4"/>
        <w:spacing w:before="0" w:beforeAutospacing="0" w:after="0" w:afterAutospacing="0"/>
        <w:jc w:val="both"/>
        <w:rPr>
          <w:rFonts w:ascii="Century Gothic" w:hAnsi="Century Gothic"/>
          <w:color w:val="000000"/>
          <w:sz w:val="27"/>
          <w:szCs w:val="27"/>
        </w:rPr>
      </w:pPr>
      <w:r>
        <w:rPr>
          <w:rFonts w:ascii="Century Gothic" w:hAnsi="Century Gothic"/>
          <w:color w:val="000000"/>
          <w:sz w:val="27"/>
          <w:szCs w:val="27"/>
        </w:rPr>
        <w:t> </w:t>
      </w:r>
    </w:p>
    <w:p w14:paraId="557DB9AC" w14:textId="77777777" w:rsidR="00241ED3" w:rsidRDefault="00241ED3">
      <w:pPr>
        <w:pStyle w:val="s8"/>
        <w:spacing w:before="0" w:beforeAutospacing="0" w:after="90" w:afterAutospacing="0"/>
        <w:rPr>
          <w:rFonts w:ascii="Century Gothic" w:hAnsi="Century Gothic"/>
          <w:b/>
          <w:bCs/>
          <w:color w:val="000000"/>
          <w:sz w:val="15"/>
          <w:szCs w:val="15"/>
        </w:rPr>
      </w:pPr>
      <w:r>
        <w:rPr>
          <w:rStyle w:val="bumpedfont15"/>
          <w:rFonts w:ascii="Century Gothic" w:hAnsi="Century Gothic"/>
          <w:b/>
          <w:bCs/>
          <w:color w:val="000000"/>
          <w:sz w:val="35"/>
          <w:szCs w:val="35"/>
        </w:rPr>
        <w:t>References</w:t>
      </w:r>
    </w:p>
    <w:p w14:paraId="5348DE50"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Adetunji, O. A., &amp; Okuonghae, N. (n.d.). </w:t>
      </w:r>
      <w:r>
        <w:rPr>
          <w:rStyle w:val="bumpedfont15"/>
          <w:rFonts w:ascii="Century Gothic" w:hAnsi="Century Gothic"/>
          <w:i/>
          <w:iCs/>
          <w:color w:val="000000"/>
          <w:sz w:val="30"/>
          <w:szCs w:val="30"/>
        </w:rPr>
        <w:t>Challenges of copyright protection in the digital age: The Nigerian perspective</w:t>
      </w:r>
      <w:r>
        <w:rPr>
          <w:rStyle w:val="bumpedfont15"/>
          <w:rFonts w:ascii="Century Gothic" w:hAnsi="Century Gothic"/>
          <w:color w:val="000000"/>
          <w:sz w:val="30"/>
          <w:szCs w:val="30"/>
        </w:rPr>
        <w:t>. Lead City University Library; Samuel Adegboyega University Library.</w:t>
      </w:r>
    </w:p>
    <w:p w14:paraId="2D85934E"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Beiter, K. D., Flynn, S., Forere, M., Klaaren, J., Ncube, C. B., Nwauche, E. S., Rens, A., Samtani, S., &amp; Schonwetter, T. (2022). Copyright reform in South Africa: Two joint academic opinions on the Copyright Amendment Bill [B13B-2017]. </w:t>
      </w:r>
      <w:r>
        <w:rPr>
          <w:rStyle w:val="bumpedfont15"/>
          <w:rFonts w:ascii="Century Gothic" w:hAnsi="Century Gothic"/>
          <w:i/>
          <w:iCs/>
          <w:color w:val="000000"/>
          <w:sz w:val="30"/>
          <w:szCs w:val="30"/>
        </w:rPr>
        <w:t>PER / PELJ</w:t>
      </w:r>
      <w:r>
        <w:rPr>
          <w:rStyle w:val="bumpedfont15"/>
          <w:rFonts w:ascii="Century Gothic" w:hAnsi="Century Gothic"/>
          <w:color w:val="000000"/>
          <w:sz w:val="30"/>
          <w:szCs w:val="30"/>
        </w:rPr>
        <w:t>, 25. </w:t>
      </w:r>
      <w:hyperlink r:id="rId4" w:history="1">
        <w:r>
          <w:rPr>
            <w:rStyle w:val="bumpedfont15"/>
            <w:rFonts w:ascii="Century Gothic" w:hAnsi="Century Gothic"/>
            <w:color w:val="0000FF"/>
            <w:sz w:val="30"/>
            <w:szCs w:val="30"/>
            <w:u w:val="single"/>
          </w:rPr>
          <w:t>https://doi.org/10.17159/1727-3781/2022/v25i0a13880</w:t>
        </w:r>
      </w:hyperlink>
    </w:p>
    <w:p w14:paraId="7870F4EB"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Juma, P. O. (2022). The Marrakesh Treaty and African copyright laws: Lessons for the African region from Blind SA v Minister of Trade, Industry and Competition. </w:t>
      </w:r>
      <w:r>
        <w:rPr>
          <w:rStyle w:val="bumpedfont15"/>
          <w:rFonts w:ascii="Century Gothic" w:hAnsi="Century Gothic"/>
          <w:i/>
          <w:iCs/>
          <w:color w:val="000000"/>
          <w:sz w:val="30"/>
          <w:szCs w:val="30"/>
        </w:rPr>
        <w:t>African Disability Rights Yearbook</w:t>
      </w:r>
      <w:r>
        <w:rPr>
          <w:rStyle w:val="bumpedfont15"/>
          <w:rFonts w:ascii="Century Gothic" w:hAnsi="Century Gothic"/>
          <w:color w:val="000000"/>
          <w:sz w:val="30"/>
          <w:szCs w:val="30"/>
        </w:rPr>
        <w:t>, 10, 231–242.</w:t>
      </w:r>
    </w:p>
    <w:p w14:paraId="2070D68E"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Okediji, R. L. (2018). </w:t>
      </w:r>
      <w:r>
        <w:rPr>
          <w:rStyle w:val="bumpedfont15"/>
          <w:rFonts w:ascii="Century Gothic" w:hAnsi="Century Gothic"/>
          <w:i/>
          <w:iCs/>
          <w:color w:val="000000"/>
          <w:sz w:val="30"/>
          <w:szCs w:val="30"/>
        </w:rPr>
        <w:t>Copyright law in an age of limitations and exceptions</w:t>
      </w:r>
      <w:r>
        <w:rPr>
          <w:rStyle w:val="bumpedfont15"/>
          <w:rFonts w:ascii="Century Gothic" w:hAnsi="Century Gothic"/>
          <w:color w:val="000000"/>
          <w:sz w:val="30"/>
          <w:szCs w:val="30"/>
        </w:rPr>
        <w:t>. Cambridge University Press.</w:t>
      </w:r>
    </w:p>
    <w:p w14:paraId="23E3D0BE"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lastRenderedPageBreak/>
        <w:t>Pistorius, T., &amp; Mwim, O. S. (2019). The impact of digital copyright law and policy on access to knowledge and learning. </w:t>
      </w:r>
      <w:r>
        <w:rPr>
          <w:rStyle w:val="bumpedfont15"/>
          <w:rFonts w:ascii="Century Gothic" w:hAnsi="Century Gothic"/>
          <w:i/>
          <w:iCs/>
          <w:color w:val="000000"/>
          <w:sz w:val="30"/>
          <w:szCs w:val="30"/>
        </w:rPr>
        <w:t>Reading &amp; Writing</w:t>
      </w:r>
      <w:r>
        <w:rPr>
          <w:rStyle w:val="bumpedfont15"/>
          <w:rFonts w:ascii="Century Gothic" w:hAnsi="Century Gothic"/>
          <w:color w:val="000000"/>
          <w:sz w:val="30"/>
          <w:szCs w:val="30"/>
        </w:rPr>
        <w:t>, 10(1).</w:t>
      </w:r>
    </w:p>
    <w:p w14:paraId="75CBC39D"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Rotich, R. (2018). Navigating the digital divide: Challenges and opportunities in research publishing for African scholars. </w:t>
      </w:r>
      <w:r>
        <w:rPr>
          <w:rStyle w:val="bumpedfont15"/>
          <w:rFonts w:ascii="Century Gothic" w:hAnsi="Century Gothic"/>
          <w:i/>
          <w:iCs/>
          <w:color w:val="000000"/>
          <w:sz w:val="30"/>
          <w:szCs w:val="30"/>
        </w:rPr>
        <w:t>European Review</w:t>
      </w:r>
      <w:r>
        <w:rPr>
          <w:rStyle w:val="bumpedfont15"/>
          <w:rFonts w:ascii="Century Gothic" w:hAnsi="Century Gothic"/>
          <w:color w:val="000000"/>
          <w:sz w:val="30"/>
          <w:szCs w:val="30"/>
        </w:rPr>
        <w:t>, 26(S1), S23–S36.</w:t>
      </w:r>
    </w:p>
    <w:p w14:paraId="251C5FE3"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Schonwetter, T., de Beer, J., Kawooya, D., &amp; Prabhala, A. (2009/2010). Copyright and education: Lessons on African copyright and access to knowledge. </w:t>
      </w:r>
      <w:r>
        <w:rPr>
          <w:rStyle w:val="bumpedfont15"/>
          <w:rFonts w:ascii="Century Gothic" w:hAnsi="Century Gothic"/>
          <w:i/>
          <w:iCs/>
          <w:color w:val="000000"/>
          <w:sz w:val="30"/>
          <w:szCs w:val="30"/>
        </w:rPr>
        <w:t>The African Journal of Information and Communication</w:t>
      </w:r>
      <w:r>
        <w:rPr>
          <w:rStyle w:val="bumpedfont15"/>
          <w:rFonts w:ascii="Century Gothic" w:hAnsi="Century Gothic"/>
          <w:color w:val="000000"/>
          <w:sz w:val="30"/>
          <w:szCs w:val="30"/>
        </w:rPr>
        <w:t>, 10, 37–48.</w:t>
      </w:r>
    </w:p>
    <w:p w14:paraId="4C975910" w14:textId="77777777" w:rsidR="00241ED3" w:rsidRDefault="00241ED3">
      <w:pPr>
        <w:pStyle w:val="s11"/>
        <w:spacing w:before="45" w:beforeAutospacing="0" w:after="45" w:afterAutospacing="0"/>
        <w:ind w:left="405" w:hanging="405"/>
        <w:jc w:val="both"/>
        <w:rPr>
          <w:rFonts w:ascii="Century Gothic" w:hAnsi="Century Gothic"/>
          <w:color w:val="000000"/>
          <w:sz w:val="14"/>
          <w:szCs w:val="14"/>
        </w:rPr>
      </w:pPr>
      <w:r>
        <w:rPr>
          <w:rStyle w:val="bumpedfont15"/>
          <w:rFonts w:ascii="Century Gothic" w:hAnsi="Century Gothic"/>
          <w:color w:val="000000"/>
          <w:sz w:val="30"/>
          <w:szCs w:val="30"/>
        </w:rPr>
        <w:t>Welesilassie, M. W., Gerencheal, B., &amp; Berihu, S. (2025). Bridging the digital divide: Promoting inclusive education for students with disabilities in Ethiopian schools. </w:t>
      </w:r>
      <w:r>
        <w:rPr>
          <w:rStyle w:val="bumpedfont15"/>
          <w:rFonts w:ascii="Century Gothic" w:hAnsi="Century Gothic"/>
          <w:i/>
          <w:iCs/>
          <w:color w:val="000000"/>
          <w:sz w:val="30"/>
          <w:szCs w:val="30"/>
        </w:rPr>
        <w:t>Contemporary</w:t>
      </w:r>
      <w:r>
        <w:rPr>
          <w:rStyle w:val="bumpedfont17"/>
          <w:rFonts w:ascii="Arial" w:hAnsi="Arial" w:cs="Arial"/>
          <w:color w:val="000000"/>
        </w:rPr>
        <w:t>​</w:t>
      </w:r>
      <w:r>
        <w:rPr>
          <w:rStyle w:val="bumpedfont15"/>
          <w:rFonts w:ascii="Century Gothic" w:hAnsi="Century Gothic"/>
          <w:i/>
          <w:iCs/>
          <w:color w:val="000000"/>
          <w:sz w:val="30"/>
          <w:szCs w:val="30"/>
        </w:rPr>
        <w:t>Educational</w:t>
      </w:r>
      <w:r>
        <w:rPr>
          <w:rStyle w:val="bumpedfont17"/>
          <w:rFonts w:ascii="Arial" w:hAnsi="Arial" w:cs="Arial"/>
          <w:color w:val="000000"/>
        </w:rPr>
        <w:t>​</w:t>
      </w:r>
      <w:r>
        <w:rPr>
          <w:rStyle w:val="bumpedfont15"/>
          <w:rFonts w:ascii="Century Gothic" w:hAnsi="Century Gothic"/>
          <w:i/>
          <w:iCs/>
          <w:color w:val="000000"/>
          <w:sz w:val="30"/>
          <w:szCs w:val="30"/>
        </w:rPr>
        <w:t>Technology</w:t>
      </w:r>
      <w:r>
        <w:rPr>
          <w:rStyle w:val="bumpedfont15"/>
          <w:rFonts w:ascii="Century Gothic" w:hAnsi="Century Gothic"/>
          <w:color w:val="000000"/>
          <w:sz w:val="30"/>
          <w:szCs w:val="30"/>
        </w:rPr>
        <w:t>,</w:t>
      </w:r>
      <w:r>
        <w:rPr>
          <w:rStyle w:val="bumpedfont17"/>
          <w:rFonts w:ascii="Arial" w:hAnsi="Arial" w:cs="Arial"/>
          <w:color w:val="000000"/>
        </w:rPr>
        <w:t>​</w:t>
      </w:r>
      <w:r>
        <w:rPr>
          <w:rStyle w:val="bumpedfont15"/>
          <w:rFonts w:ascii="Century Gothic" w:hAnsi="Century Gothic"/>
          <w:color w:val="000000"/>
          <w:sz w:val="30"/>
          <w:szCs w:val="30"/>
        </w:rPr>
        <w:t>17(4),</w:t>
      </w:r>
      <w:r>
        <w:rPr>
          <w:rStyle w:val="bumpedfont17"/>
          <w:rFonts w:ascii="Arial" w:hAnsi="Arial" w:cs="Arial"/>
          <w:color w:val="000000"/>
        </w:rPr>
        <w:t>​</w:t>
      </w:r>
      <w:r>
        <w:rPr>
          <w:rStyle w:val="bumpedfont15"/>
          <w:rFonts w:ascii="Century Gothic" w:hAnsi="Century Gothic"/>
          <w:color w:val="000000"/>
          <w:sz w:val="30"/>
          <w:szCs w:val="30"/>
        </w:rPr>
        <w:t>ep605. </w:t>
      </w:r>
      <w:hyperlink r:id="rId5" w:history="1">
        <w:r>
          <w:rPr>
            <w:rStyle w:val="bumpedfont15"/>
            <w:rFonts w:ascii="Century Gothic" w:hAnsi="Century Gothic"/>
            <w:color w:val="0000FF"/>
            <w:sz w:val="30"/>
            <w:szCs w:val="30"/>
            <w:u w:val="single"/>
          </w:rPr>
          <w:t>https://doi.org/10.30935/cedtech/17452</w:t>
        </w:r>
      </w:hyperlink>
    </w:p>
    <w:p w14:paraId="73388BB4" w14:textId="77777777" w:rsidR="00241ED3" w:rsidRPr="00AD726F" w:rsidRDefault="00241ED3" w:rsidP="00AD726F">
      <w:pPr>
        <w:spacing w:after="0" w:line="360" w:lineRule="auto"/>
        <w:jc w:val="both"/>
        <w:rPr>
          <w:rFonts w:ascii="Century Gothic" w:hAnsi="Century Gothic"/>
        </w:rPr>
      </w:pPr>
    </w:p>
    <w:sectPr w:rsidR="00241ED3" w:rsidRPr="00AD7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7B7"/>
    <w:rsid w:val="000B5AF1"/>
    <w:rsid w:val="000D6185"/>
    <w:rsid w:val="00241ED3"/>
    <w:rsid w:val="00281205"/>
    <w:rsid w:val="002F27B7"/>
    <w:rsid w:val="00437D02"/>
    <w:rsid w:val="00476CC8"/>
    <w:rsid w:val="004F6648"/>
    <w:rsid w:val="005B3AA2"/>
    <w:rsid w:val="00643C77"/>
    <w:rsid w:val="00701D83"/>
    <w:rsid w:val="0081119A"/>
    <w:rsid w:val="00AD726F"/>
    <w:rsid w:val="00ED69C9"/>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decimalSymbol w:val="."/>
  <w:listSeparator w:val=","/>
  <w14:docId w14:val="63497AE0"/>
  <w15:chartTrackingRefBased/>
  <w15:docId w15:val="{E3C90BA1-5C8E-9247-B390-BEBF84B6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W"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2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7B7"/>
    <w:rPr>
      <w:rFonts w:eastAsiaTheme="majorEastAsia" w:cstheme="majorBidi"/>
      <w:color w:val="272727" w:themeColor="text1" w:themeTint="D8"/>
    </w:rPr>
  </w:style>
  <w:style w:type="paragraph" w:styleId="Title">
    <w:name w:val="Title"/>
    <w:basedOn w:val="Normal"/>
    <w:next w:val="Normal"/>
    <w:link w:val="TitleChar"/>
    <w:uiPriority w:val="10"/>
    <w:qFormat/>
    <w:rsid w:val="002F2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7B7"/>
    <w:pPr>
      <w:spacing w:before="160"/>
      <w:jc w:val="center"/>
    </w:pPr>
    <w:rPr>
      <w:i/>
      <w:iCs/>
      <w:color w:val="404040" w:themeColor="text1" w:themeTint="BF"/>
    </w:rPr>
  </w:style>
  <w:style w:type="character" w:customStyle="1" w:styleId="QuoteChar">
    <w:name w:val="Quote Char"/>
    <w:basedOn w:val="DefaultParagraphFont"/>
    <w:link w:val="Quote"/>
    <w:uiPriority w:val="29"/>
    <w:rsid w:val="002F27B7"/>
    <w:rPr>
      <w:i/>
      <w:iCs/>
      <w:color w:val="404040" w:themeColor="text1" w:themeTint="BF"/>
    </w:rPr>
  </w:style>
  <w:style w:type="paragraph" w:styleId="ListParagraph">
    <w:name w:val="List Paragraph"/>
    <w:basedOn w:val="Normal"/>
    <w:uiPriority w:val="34"/>
    <w:qFormat/>
    <w:rsid w:val="002F27B7"/>
    <w:pPr>
      <w:ind w:left="720"/>
      <w:contextualSpacing/>
    </w:pPr>
  </w:style>
  <w:style w:type="character" w:styleId="IntenseEmphasis">
    <w:name w:val="Intense Emphasis"/>
    <w:basedOn w:val="DefaultParagraphFont"/>
    <w:uiPriority w:val="21"/>
    <w:qFormat/>
    <w:rsid w:val="002F27B7"/>
    <w:rPr>
      <w:i/>
      <w:iCs/>
      <w:color w:val="2F5496" w:themeColor="accent1" w:themeShade="BF"/>
    </w:rPr>
  </w:style>
  <w:style w:type="paragraph" w:styleId="IntenseQuote">
    <w:name w:val="Intense Quote"/>
    <w:basedOn w:val="Normal"/>
    <w:next w:val="Normal"/>
    <w:link w:val="IntenseQuoteChar"/>
    <w:uiPriority w:val="30"/>
    <w:qFormat/>
    <w:rsid w:val="002F2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7B7"/>
    <w:rPr>
      <w:i/>
      <w:iCs/>
      <w:color w:val="2F5496" w:themeColor="accent1" w:themeShade="BF"/>
    </w:rPr>
  </w:style>
  <w:style w:type="character" w:styleId="IntenseReference">
    <w:name w:val="Intense Reference"/>
    <w:basedOn w:val="DefaultParagraphFont"/>
    <w:uiPriority w:val="32"/>
    <w:qFormat/>
    <w:rsid w:val="002F27B7"/>
    <w:rPr>
      <w:b/>
      <w:bCs/>
      <w:smallCaps/>
      <w:color w:val="2F5496" w:themeColor="accent1" w:themeShade="BF"/>
      <w:spacing w:val="5"/>
    </w:rPr>
  </w:style>
  <w:style w:type="character" w:customStyle="1" w:styleId="s1">
    <w:name w:val="s1"/>
    <w:basedOn w:val="DefaultParagraphFont"/>
    <w:rsid w:val="002F27B7"/>
  </w:style>
  <w:style w:type="paragraph" w:customStyle="1" w:styleId="p2">
    <w:name w:val="p2"/>
    <w:basedOn w:val="Normal"/>
    <w:rsid w:val="002F27B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2F27B7"/>
  </w:style>
  <w:style w:type="paragraph" w:customStyle="1" w:styleId="p3">
    <w:name w:val="p3"/>
    <w:basedOn w:val="Normal"/>
    <w:rsid w:val="002F27B7"/>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2F27B7"/>
  </w:style>
  <w:style w:type="character" w:styleId="Hyperlink">
    <w:name w:val="Hyperlink"/>
    <w:basedOn w:val="DefaultParagraphFont"/>
    <w:uiPriority w:val="99"/>
    <w:unhideWhenUsed/>
    <w:rsid w:val="00ED69C9"/>
    <w:rPr>
      <w:color w:val="0563C1" w:themeColor="hyperlink"/>
      <w:u w:val="single"/>
    </w:rPr>
  </w:style>
  <w:style w:type="paragraph" w:customStyle="1" w:styleId="s7">
    <w:name w:val="s7"/>
    <w:basedOn w:val="Normal"/>
    <w:rsid w:val="00281205"/>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281205"/>
  </w:style>
  <w:style w:type="paragraph" w:customStyle="1" w:styleId="s11">
    <w:name w:val="s11"/>
    <w:basedOn w:val="Normal"/>
    <w:rsid w:val="0028120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281205"/>
  </w:style>
  <w:style w:type="paragraph" w:customStyle="1" w:styleId="s4">
    <w:name w:val="s4"/>
    <w:basedOn w:val="Normal"/>
    <w:rsid w:val="00241ED3"/>
    <w:pPr>
      <w:spacing w:before="100" w:beforeAutospacing="1" w:after="100" w:afterAutospacing="1" w:line="240" w:lineRule="auto"/>
    </w:pPr>
    <w:rPr>
      <w:rFonts w:ascii="Times New Roman" w:hAnsi="Times New Roman" w:cs="Times New Roman"/>
      <w:kern w:val="0"/>
      <w14:ligatures w14:val="none"/>
    </w:rPr>
  </w:style>
  <w:style w:type="paragraph" w:customStyle="1" w:styleId="s8">
    <w:name w:val="s8"/>
    <w:basedOn w:val="Normal"/>
    <w:rsid w:val="00241ED3"/>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7">
    <w:name w:val="bumpedfont17"/>
    <w:basedOn w:val="DefaultParagraphFont"/>
    <w:rsid w:val="00241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30935/cedtech/17452" TargetMode="External"/><Relationship Id="rId4" Type="http://schemas.openxmlformats.org/officeDocument/2006/relationships/hyperlink" Target="https://doi.org/10.17159/1727-3781/2022/v25i0a138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chisomo jussab</dc:creator>
  <cp:keywords/>
  <dc:description/>
  <cp:lastModifiedBy>chisomo jussab</cp:lastModifiedBy>
  <cp:revision>2</cp:revision>
  <dcterms:created xsi:type="dcterms:W3CDTF">2026-03-04T14:55:00Z</dcterms:created>
  <dcterms:modified xsi:type="dcterms:W3CDTF">2026-03-04T14:55:00Z</dcterms:modified>
</cp:coreProperties>
</file>