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FDO-Privacy Project</w:t>
        <w:br/>
        <w:t>Final Research Report Package</w:t>
      </w:r>
    </w:p>
    <w:p>
      <w:pPr>
        <w:jc w:val="center"/>
      </w:pPr>
      <w:r>
        <w:rPr>
          <w:i/>
        </w:rPr>
        <w:t>Stage 7 • Version 1.0</w:t>
      </w:r>
    </w:p>
    <w:p>
      <w:r>
        <w:t>This report consolidates the project work completed through Stage 6, using the project’s Stage-3/Stage-4 datasets and the Stage-6 results workbook as the primary basis. It preserves unresolved cases as ambiguous and does not infer negative findings from missing evidence.</w:t>
      </w:r>
    </w:p>
    <w:p>
      <w:pPr>
        <w:pStyle w:val="Heading1"/>
      </w:pPr>
      <w:r>
        <w:t>1. Executive Summary</w:t>
      </w:r>
    </w:p>
    <w:p>
      <w:r>
        <w:t>The project began with an original pilot of 30 applications and uses an analytical set of 27 applications. The Stage-2 expected-data model contains 99 mappings. Stage 5/6 carried 93 mappings into the evidence-backed analytical set.</w:t>
      </w:r>
    </w:p>
    <w:p>
      <w:r>
        <w:t>Among the evidence-backed mappings, 60 were classified as NOT_FDO and 33 remained AMBIGUOUS. No FDO mapping was established. The resolved-case FDO rate is therefore 0%, but this must not be interpreted as proof that the applications contain no FDOs because unresolved cases remain.</w:t>
      </w:r>
    </w:p>
    <w:p>
      <w:pPr>
        <w:pStyle w:val="Heading1"/>
      </w:pPr>
      <w:r>
        <w:t>2. Research Problem</w:t>
      </w:r>
    </w:p>
    <w:p>
      <w:r>
        <w:t>The project studies whether application data practices can be evaluated against an expected, function-specific data model and policy evidence in order to identify potentially functionally excessive data (FDO). The central challenge is that privacy policies may describe data processing at a broad level, while the research question requires mapping evidence to a specific application function and data type.</w:t>
      </w:r>
    </w:p>
    <w:p>
      <w:pPr>
        <w:pStyle w:val="Heading1"/>
      </w:pPr>
      <w:r>
        <w:t>3. Project Objective</w:t>
      </w:r>
    </w:p>
    <w:p>
      <w:pPr>
        <w:pStyle w:val="ListBullet"/>
      </w:pPr>
      <w:r>
        <w:t>Construct an auditable application roster and expected-data mapping set.</w:t>
      </w:r>
    </w:p>
    <w:p>
      <w:pPr>
        <w:pStyle w:val="ListBullet"/>
      </w:pPr>
      <w:r>
        <w:t>Collect and annotate policy/declaration evidence for the expected mappings.</w:t>
      </w:r>
    </w:p>
    <w:p>
      <w:pPr>
        <w:pStyle w:val="ListBullet"/>
      </w:pPr>
      <w:r>
        <w:t>Compare expected necessity with declared data and declared purpose.</w:t>
      </w:r>
    </w:p>
    <w:p>
      <w:pPr>
        <w:pStyle w:val="ListBullet"/>
      </w:pPr>
      <w:r>
        <w:t>Use functional justification as a safeguard against labeling ordinary or optional processing as FDO.</w:t>
      </w:r>
    </w:p>
    <w:p>
      <w:pPr>
        <w:pStyle w:val="ListBullet"/>
      </w:pPr>
      <w:r>
        <w:t>Retain uncertainty explicitly instead of converting insufficient evidence into false negative or positive findings.</w:t>
      </w:r>
    </w:p>
    <w:p>
      <w:pPr>
        <w:pStyle w:val="Heading1"/>
      </w:pPr>
      <w:r>
        <w:t>4. Innovation / Novelty</w:t>
      </w:r>
    </w:p>
    <w:p>
      <w:r>
        <w:t>Based on the project workflow, the innovation is the structured evidence-to-function mapping approach: expected data are linked to application functions, policy declarations are captured with provenance, and FDO decisions are separated into necessity, purpose compatibility and functional-justification tests. This creates an auditable path from raw policy evidence to a final analytical label.</w:t>
      </w:r>
    </w:p>
    <w:p>
      <w:r>
        <w:t>A second methodological contribution is explicit uncertainty handling. Missing extraction evidence is not treated as NOT_DECLARED, and unresolved purpose evidence is retained as AMBIGUOUS.</w:t>
      </w:r>
    </w:p>
    <w:p>
      <w:pPr>
        <w:pStyle w:val="Heading1"/>
      </w:pPr>
      <w:r>
        <w:t>5. Dataset and Scope</w:t>
      </w:r>
    </w:p>
    <w:tbl>
      <w:tblPr>
        <w:tblStyle w:val="TableGrid"/>
        <w:tblW w:type="auto" w:w="0"/>
        <w:jc w:val="center"/>
        <w:tblLook w:firstColumn="1" w:firstRow="1" w:lastColumn="0" w:lastRow="0" w:noHBand="0" w:noVBand="1" w:val="04A0"/>
      </w:tblPr>
      <w:tblGrid>
        <w:gridCol w:w="4968"/>
        <w:gridCol w:w="4968"/>
      </w:tblGrid>
      <w:tr>
        <w:tc>
          <w:tcPr>
            <w:tcW w:type="dxa" w:w="4968"/>
          </w:tcPr>
          <w:p>
            <w:r>
              <w:t>Dataset element</w:t>
            </w:r>
          </w:p>
        </w:tc>
        <w:tc>
          <w:tcPr>
            <w:tcW w:type="dxa" w:w="4968"/>
          </w:tcPr>
          <w:p>
            <w:r>
              <w:t>Value</w:t>
            </w:r>
          </w:p>
        </w:tc>
      </w:tr>
      <w:tr>
        <w:tc>
          <w:tcPr>
            <w:tcW w:type="dxa" w:w="4968"/>
          </w:tcPr>
          <w:p>
            <w:r>
              <w:t>Original pilot applications</w:t>
            </w:r>
          </w:p>
        </w:tc>
        <w:tc>
          <w:tcPr>
            <w:tcW w:type="dxa" w:w="4968"/>
          </w:tcPr>
          <w:p>
            <w:r>
              <w:t>30</w:t>
            </w:r>
          </w:p>
        </w:tc>
      </w:tr>
      <w:tr>
        <w:tc>
          <w:tcPr>
            <w:tcW w:type="dxa" w:w="4968"/>
          </w:tcPr>
          <w:p>
            <w:r>
              <w:t>Analytical applications</w:t>
            </w:r>
          </w:p>
        </w:tc>
        <w:tc>
          <w:tcPr>
            <w:tcW w:type="dxa" w:w="4968"/>
          </w:tcPr>
          <w:p>
            <w:r>
              <w:t>27</w:t>
            </w:r>
          </w:p>
        </w:tc>
      </w:tr>
      <w:tr>
        <w:tc>
          <w:tcPr>
            <w:tcW w:type="dxa" w:w="4968"/>
          </w:tcPr>
          <w:p>
            <w:r>
              <w:t>Expected mappings</w:t>
            </w:r>
          </w:p>
        </w:tc>
        <w:tc>
          <w:tcPr>
            <w:tcW w:type="dxa" w:w="4968"/>
          </w:tcPr>
          <w:p>
            <w:r>
              <w:t>99</w:t>
            </w:r>
          </w:p>
        </w:tc>
      </w:tr>
      <w:tr>
        <w:tc>
          <w:tcPr>
            <w:tcW w:type="dxa" w:w="4968"/>
          </w:tcPr>
          <w:p>
            <w:r>
              <w:t>Evidence-backed mappings</w:t>
            </w:r>
          </w:p>
        </w:tc>
        <w:tc>
          <w:tcPr>
            <w:tcW w:type="dxa" w:w="4968"/>
          </w:tcPr>
          <w:p>
            <w:r>
              <w:t>93</w:t>
            </w:r>
          </w:p>
        </w:tc>
      </w:tr>
      <w:tr>
        <w:tc>
          <w:tcPr>
            <w:tcW w:type="dxa" w:w="4968"/>
          </w:tcPr>
          <w:p>
            <w:r>
              <w:t>NOT_FDO mappings</w:t>
            </w:r>
          </w:p>
        </w:tc>
        <w:tc>
          <w:tcPr>
            <w:tcW w:type="dxa" w:w="4968"/>
          </w:tcPr>
          <w:p>
            <w:r>
              <w:t>60</w:t>
            </w:r>
          </w:p>
        </w:tc>
      </w:tr>
      <w:tr>
        <w:tc>
          <w:tcPr>
            <w:tcW w:type="dxa" w:w="4968"/>
          </w:tcPr>
          <w:p>
            <w:r>
              <w:t>AMBIGUOUS mappings</w:t>
            </w:r>
          </w:p>
        </w:tc>
        <w:tc>
          <w:tcPr>
            <w:tcW w:type="dxa" w:w="4968"/>
          </w:tcPr>
          <w:p>
            <w:r>
              <w:t>33</w:t>
            </w:r>
          </w:p>
        </w:tc>
      </w:tr>
      <w:tr>
        <w:tc>
          <w:tcPr>
            <w:tcW w:type="dxa" w:w="4968"/>
          </w:tcPr>
          <w:p>
            <w:r>
              <w:t>FDO mappings</w:t>
            </w:r>
          </w:p>
        </w:tc>
        <w:tc>
          <w:tcPr>
            <w:tcW w:type="dxa" w:w="4968"/>
          </w:tcPr>
          <w:p>
            <w:r>
              <w:t>0</w:t>
            </w:r>
          </w:p>
        </w:tc>
      </w:tr>
      <w:tr>
        <w:tc>
          <w:tcPr>
            <w:tcW w:type="dxa" w:w="4968"/>
          </w:tcPr>
          <w:p>
            <w:r>
              <w:t>Resolved-case FDO rate</w:t>
            </w:r>
          </w:p>
        </w:tc>
        <w:tc>
          <w:tcPr>
            <w:tcW w:type="dxa" w:w="4968"/>
          </w:tcPr>
          <w:p>
            <w:r>
              <w:t>0%</w:t>
            </w:r>
          </w:p>
        </w:tc>
      </w:tr>
      <w:tr>
        <w:tc>
          <w:tcPr>
            <w:tcW w:type="dxa" w:w="4968"/>
          </w:tcPr>
          <w:p>
            <w:r>
              <w:t>Evidence coverage</w:t>
            </w:r>
          </w:p>
        </w:tc>
        <w:tc>
          <w:tcPr>
            <w:tcW w:type="dxa" w:w="4968"/>
          </w:tcPr>
          <w:p>
            <w:r>
              <w:t>94.0%</w:t>
            </w:r>
          </w:p>
        </w:tc>
      </w:tr>
    </w:tbl>
    <w:p>
      <w:pPr>
        <w:pStyle w:val="Heading1"/>
      </w:pPr>
      <w:r>
        <w:t>6. Methodology</w:t>
      </w:r>
    </w:p>
    <w:p>
      <w:pPr>
        <w:pStyle w:val="Heading2"/>
      </w:pPr>
      <w:r>
        <w:t>6.1 Expected-data modelling</w:t>
      </w:r>
    </w:p>
    <w:p>
      <w:r>
        <w:t>Each expected mapping connects an application/function with an expected data type and an expected purpose/necessity assessment.</w:t>
      </w:r>
    </w:p>
    <w:p>
      <w:pPr>
        <w:pStyle w:val="Heading2"/>
      </w:pPr>
      <w:r>
        <w:t>6.2 Policy evidence annotation</w:t>
      </w:r>
    </w:p>
    <w:p>
      <w:r>
        <w:t>Policy evidence was captured at mapping level. Evidence-backed declarations were separated from ambiguous and source-insufficient cases. The workflow explicitly avoided treating absence from an extraction as proof of non-collection.</w:t>
      </w:r>
    </w:p>
    <w:p>
      <w:pPr>
        <w:pStyle w:val="Heading2"/>
      </w:pPr>
      <w:r>
        <w:t>6.3 Stage 4A — Necessity analysis</w:t>
      </w:r>
    </w:p>
    <w:p>
      <w:r>
        <w:t>Declared mappings were compared with the Stage-2 expected necessity baseline. L1-required mappings were not automatically treated as FDO, while optional/supportive/secondary categories were flagged for deeper purpose review.</w:t>
      </w:r>
    </w:p>
    <w:p>
      <w:pPr>
        <w:pStyle w:val="Heading2"/>
      </w:pPr>
      <w:r>
        <w:t>6.4 Stage 4B — Purpose compatibility</w:t>
      </w:r>
    </w:p>
    <w:p>
      <w:r>
        <w:t>Expected purpose was compared with declared policy evidence. Where the evidence plausibly supported the application function, no clear FDO signal was established. Where purpose wording was insufficient, the case remained unresolved.</w:t>
      </w:r>
    </w:p>
    <w:p>
      <w:pPr>
        <w:pStyle w:val="Heading2"/>
      </w:pPr>
      <w:r>
        <w:t>6.5 Stage 4C–4E — Candidate screening and adjudication</w:t>
      </w:r>
    </w:p>
    <w:p>
      <w:r>
        <w:t>Candidate screening separated clear non-candidates from cases requiring review. Detailed adjudication then applied necessity, purpose and functional-justification tests. Ambiguity was retained where the evidence could not support a defensible binary decision.</w:t>
      </w:r>
    </w:p>
    <w:p>
      <w:pPr>
        <w:pStyle w:val="Heading1"/>
      </w:pPr>
      <w:r>
        <w:t>7. Results</w:t>
      </w:r>
    </w:p>
    <w:p>
      <w:pPr>
        <w:pStyle w:val="ListBullet"/>
      </w:pPr>
      <w:r>
        <w:t>F-01 — No FDO established in resolved mappings</w:t>
      </w:r>
    </w:p>
    <w:p>
      <w:r>
        <w:t>Result: 0 FDO / 60 NOT_FDO. Current evidence did not establish functional excess among resolved mappings. Caution: Does not prove absence of FDOs in all 27 apps.</w:t>
      </w:r>
    </w:p>
    <w:p>
      <w:pPr>
        <w:pStyle w:val="ListBullet"/>
      </w:pPr>
      <w:r>
        <w:t>F-02 — Ambiguity remains material</w:t>
      </w:r>
    </w:p>
    <w:p>
      <w:r>
        <w:t>Result: 33 of 93 mappings. 35.5% of evidence-backed mappings remain ambiguous and are excluded from the primary resolved-case FDO rate. Caution: These cases need stronger policy evidence.</w:t>
      </w:r>
    </w:p>
    <w:p>
      <w:pPr>
        <w:pStyle w:val="ListBullet"/>
      </w:pPr>
      <w:r>
        <w:t>F-03 — Resolved-case FDO rate</w:t>
      </w:r>
    </w:p>
    <w:p>
      <w:r>
        <w:t>Result: 0%. 0 FDO among 60 resolved mappings. Caution: Rate is conditional on resolved cases.</w:t>
      </w:r>
    </w:p>
    <w:p>
      <w:pPr>
        <w:pStyle w:val="ListBullet"/>
      </w:pPr>
      <w:r>
        <w:t>F-04 — Evidence coverage</w:t>
      </w:r>
    </w:p>
    <w:p>
      <w:r>
        <w:t>Result: 93 of 99 mappings. 94.0% of expected mappings entered the Stage-5 evidence-backed set. Caution: Six mappings remain unresolved from Stage 3D.</w:t>
      </w:r>
    </w:p>
    <w:p>
      <w:pPr>
        <w:pStyle w:val="ListBullet"/>
      </w:pPr>
      <w:r>
        <w:t>F-05 — Analytical set</w:t>
      </w:r>
    </w:p>
    <w:p>
      <w:r>
        <w:t>Result: 27 applications. Stage-4/5 analysis uses the 27-app analytical set. Caution: Instagram, PUBG MOBILE and WeChat remain documented policy exceptions.</w:t>
      </w:r>
    </w:p>
    <w:p>
      <w:pPr>
        <w:pStyle w:val="Heading1"/>
      </w:pPr>
      <w:r>
        <w:t>8. Key Research Finding</w:t>
      </w:r>
    </w:p>
    <w:p>
      <w:r>
        <w:t>No FDOs were established among the resolved mappings using the available evidence. This is a conditional evidence-based result, not a claim that no FDO exists in the applications.</w:t>
      </w:r>
    </w:p>
    <w:p>
      <w:r>
        <w:t>The most important limitation in the current result is the 33 ambiguous mappings. They represent a material portion of the evidence-backed set and should remain visible in any presentation of the results.</w:t>
      </w:r>
    </w:p>
    <w:p>
      <w:pPr>
        <w:pStyle w:val="Heading1"/>
      </w:pPr>
      <w:r>
        <w:t>9. Limitations and Threats to Validity</w:t>
      </w:r>
    </w:p>
    <w:p>
      <w:pPr>
        <w:pStyle w:val="ListBullet"/>
      </w:pPr>
      <w:r>
        <w:t>Privacy-policy language can be broad, incomplete, or feature-specific.</w:t>
      </w:r>
    </w:p>
    <w:p>
      <w:pPr>
        <w:pStyle w:val="ListBullet"/>
      </w:pPr>
      <w:r>
        <w:t>Some policy evidence may describe processing at an application level rather than a function/data-type level.</w:t>
      </w:r>
    </w:p>
    <w:p>
      <w:pPr>
        <w:pStyle w:val="ListBullet"/>
      </w:pPr>
      <w:r>
        <w:t>Ambiguous mappings reduce the certainty of the overall FDO estimate.</w:t>
      </w:r>
    </w:p>
    <w:p>
      <w:pPr>
        <w:pStyle w:val="ListBullet"/>
      </w:pPr>
      <w:r>
        <w:t>The analytical set is a 27-application subset of the original 30-application pilot.</w:t>
      </w:r>
    </w:p>
    <w:p>
      <w:pPr>
        <w:pStyle w:val="ListBullet"/>
      </w:pPr>
      <w:r>
        <w:t>The current result should not be generalized to all applications or all versions of the same applications.</w:t>
      </w:r>
    </w:p>
    <w:p>
      <w:pPr>
        <w:pStyle w:val="ListBullet"/>
      </w:pPr>
      <w:r>
        <w:t>Policy exceptions documented in Stage 3 (Instagram, PUBG MOBILE and WeChat) remain part of the project record.</w:t>
      </w:r>
    </w:p>
    <w:p>
      <w:pPr>
        <w:pStyle w:val="Heading1"/>
      </w:pPr>
      <w:r>
        <w:t>10. Conclusion</w:t>
      </w:r>
    </w:p>
    <w:p>
      <w:r>
        <w:t>The project establishes an auditable workflow for evaluating application data practices against expected function-specific data requirements and policy evidence. The current analytical result is 60 NOT_FDO, 33 AMBIGUOUS and 0 established FDO mappings among 93 evidence-backed mappings. The strongest conclusion supported by the current dataset is therefore that no FDO was established under the adopted evidence and adjudication rules.</w:t>
      </w:r>
    </w:p>
    <w:p>
      <w:pPr>
        <w:pStyle w:val="Heading1"/>
      </w:pPr>
      <w:r>
        <w:t>11. Future Work</w:t>
      </w:r>
    </w:p>
    <w:p>
      <w:pPr>
        <w:pStyle w:val="ListBullet"/>
      </w:pPr>
      <w:r>
        <w:t>Resolve the remaining ambiguous mappings using exact, current, category-level policy evidence.</w:t>
      </w:r>
    </w:p>
    <w:p>
      <w:pPr>
        <w:pStyle w:val="ListBullet"/>
      </w:pPr>
      <w:r>
        <w:t>Repeat the analysis across a larger and more diverse application sample.</w:t>
      </w:r>
    </w:p>
    <w:p>
      <w:pPr>
        <w:pStyle w:val="ListBullet"/>
      </w:pPr>
      <w:r>
        <w:t>Automate policy-to-data-type extraction while retaining human adjudication for ambiguous cases.</w:t>
      </w:r>
    </w:p>
    <w:p>
      <w:pPr>
        <w:pStyle w:val="ListBullet"/>
      </w:pPr>
      <w:r>
        <w:t>Add inter-annotator agreement statistics to quantify annotation consistency.</w:t>
      </w:r>
    </w:p>
    <w:p>
      <w:pPr>
        <w:pStyle w:val="ListBullet"/>
      </w:pPr>
      <w:r>
        <w:t>Evaluate whether an operational prototype can automatically surface FDO candidates for analyst review.</w:t>
      </w:r>
    </w:p>
    <w:p>
      <w:pPr>
        <w:pStyle w:val="Heading1"/>
      </w:pPr>
      <w:r>
        <w:t>12. Project Implementation Roadmap</w:t>
      </w:r>
    </w:p>
    <w:p>
      <w:pPr>
        <w:pStyle w:val="ListBullet"/>
      </w:pPr>
      <w:r>
        <w:t>Stage 1 — Scope and research design</w:t>
      </w:r>
    </w:p>
    <w:p>
      <w:pPr>
        <w:pStyle w:val="ListBullet"/>
      </w:pPr>
      <w:r>
        <w:t>Stage 2 — Expected-data model and annotation preparation</w:t>
      </w:r>
    </w:p>
    <w:p>
      <w:pPr>
        <w:pStyle w:val="ListBullet"/>
      </w:pPr>
      <w:r>
        <w:t>Stage 3 — Policy evidence extraction, provenance and QA</w:t>
      </w:r>
    </w:p>
    <w:p>
      <w:pPr>
        <w:pStyle w:val="ListBullet"/>
      </w:pPr>
      <w:r>
        <w:t>Stage 4 — Necessity, purpose compatibility and FDO adjudication</w:t>
      </w:r>
    </w:p>
    <w:p>
      <w:pPr>
        <w:pStyle w:val="ListBullet"/>
      </w:pPr>
      <w:r>
        <w:t>Stage 5 — Final dataset and statistics</w:t>
      </w:r>
    </w:p>
    <w:p>
      <w:pPr>
        <w:pStyle w:val="ListBullet"/>
      </w:pPr>
      <w:r>
        <w:t>Stage 6 — Results visualization and findings</w:t>
      </w:r>
    </w:p>
    <w:p>
      <w:pPr>
        <w:pStyle w:val="ListBullet"/>
      </w:pPr>
      <w:r>
        <w:t>Stage 7 — Final report and presentation package</w:t>
      </w:r>
    </w:p>
    <w:p>
      <w:pPr>
        <w:pStyle w:val="Heading1"/>
      </w:pPr>
      <w:r>
        <w:t>13. Presentation-Ready Result</w:t>
      </w:r>
    </w:p>
    <w:p>
      <w:r>
        <w:t>Recommended one-slide result statement: “Across 99 expected mappings for a 27-application analytical set, 93 mappings had evidence-backed declarations. Of these, 60 were classified NOT_FDO, 33 remained AMBIGUOUS, and 0 FDOs were established. The result is conditional on the available evidence and explicitly preserves uncertainty.”</w:t>
      </w:r>
    </w:p>
    <w:p>
      <w:pPr>
        <w:pStyle w:val="Heading1"/>
      </w:pPr>
      <w:r>
        <w:t>14. Source Artifact</w:t>
      </w:r>
    </w:p>
    <w:p>
      <w:r>
        <w:t>Primary analytical source: FDO-Privacy Stage 6 — Results Visualization and Findings v1.0, with the Stage-5 final mapping dataset and preceding Stage-3/Stage-4 workbooks forming the supporting project record.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