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Literature Survey</w:t>
      </w:r>
    </w:p>
    <w:p>
      <w:pPr>
        <w:spacing w:after="40"/>
        <w:jc w:val="center"/>
      </w:pPr>
      <w:r>
        <w:rPr>
          <w:rFonts w:ascii="Calibri" w:cs="Calibri" w:eastAsia="Calibri" w:hAnsi="Calibri"/>
          <w:i/>
          <w:iCs/>
          <w:sz w:val="24"/>
          <w:szCs w:val="24"/>
        </w:rPr>
        <w:t xml:space="preserve">FDO-Privacy: An Explainable AI Framework for Detecting Functional Data Overreach in Privacy Policies</w:t>
      </w:r>
    </w:p>
    <w:p>
      <w:pPr>
        <w:spacing w:after="300"/>
        <w:jc w:val="center"/>
      </w:pPr>
      <w:r>
        <w:rPr>
          <w:rFonts w:ascii="Calibri" w:cs="Calibri" w:eastAsia="Calibri" w:hAnsi="Calibri"/>
          <w:color w:val="555555"/>
          <w:sz w:val="20"/>
          <w:szCs w:val="20"/>
        </w:rPr>
        <w:t xml:space="preserve">Stage 1 — Research Foundation | Related Work Survey (20 Papers)</w:t>
      </w:r>
    </w:p>
    <w:p>
      <w:pPr>
        <w:pStyle w:val="Heading1"/>
        <w:spacing w:after="120" w:before="280"/>
      </w:pPr>
      <w:r>
        <w:t xml:space="preserve">Summary Table of Reviewed Papers</w:t>
      </w:r>
    </w:p>
    <w:p>
      <w:pPr>
        <w:spacing w:after="160"/>
        <w:jc w:val="both"/>
      </w:pPr>
      <w:r>
        <w:rPr>
          <w:rFonts w:ascii="Calibri" w:cs="Calibri" w:eastAsia="Calibri" w:hAnsi="Calibri"/>
          <w:sz w:val="22"/>
          <w:szCs w:val="22"/>
        </w:rPr>
        <w:t xml:space="preserve">The table below summarizes the 20 papers/systems identified during the Stage 1 literature review, drawn from IEEE/ACM/USENIX/Springer/Elsevier/arXiv sources. Where only a preprint or industry source was available, this is noted in the narrative discussion that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200"/>
        <w:gridCol w:w="1700"/>
        <w:gridCol w:w="2060"/>
      </w:tblGrid>
      <w:tr>
        <w:trPr>
          <w:tblHeader/>
        </w:trPr>
        <w:tc>
          <w:tcPr>
            <w:tcW w:type="dxa" w:w="500"/>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W w:type="dxa" w:w="2900"/>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Title</w:t>
            </w:r>
          </w:p>
        </w:tc>
        <w:tc>
          <w:tcPr>
            <w:tcW w:type="dxa" w:w="2200"/>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Author(s)</w:t>
            </w:r>
          </w:p>
        </w:tc>
        <w:tc>
          <w:tcPr>
            <w:tcW w:type="dxa" w:w="1700"/>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Venue / Year</w:t>
            </w:r>
          </w:p>
        </w:tc>
        <w:tc>
          <w:tcPr>
            <w:tcW w:type="dxa" w:w="2060"/>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What It Does</w:t>
            </w:r>
          </w:p>
        </w:tc>
      </w:tr>
      <w:tr>
        <w:tc>
          <w:tcPr>
            <w:tcW w:type="dxa" w:w="5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1</w:t>
            </w:r>
          </w:p>
        </w:tc>
        <w:tc>
          <w:tcPr>
            <w:tcW w:type="dxa" w:w="2900"/>
            <w:shd w:fill="FFFFFF" w:val="clear"/>
            <w:tcMar>
              <w:top w:type="dxa" w:w="100"/>
              <w:left w:type="dxa" w:w="120"/>
              <w:bottom w:type="dxa" w:w="100"/>
              <w:right w:type="dxa" w:w="120"/>
            </w:tcMar>
          </w:tcPr>
          <w:p>
            <w:r>
              <w:rPr>
                <w:rFonts w:ascii="Calibri" w:cs="Calibri" w:eastAsia="Calibri" w:hAnsi="Calibri"/>
                <w:b/>
                <w:bCs/>
                <w:sz w:val="20"/>
                <w:szCs w:val="20"/>
              </w:rPr>
              <w:t xml:space="preserve">PoliGraph: Automated Privacy Policy Analysis using Knowledge Graphs</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Cui, H., Trimananda, R., Markopoulou, A., &amp; Jordan, S.</w:t>
            </w:r>
          </w:p>
        </w:tc>
        <w:tc>
          <w:tcPr>
            <w:tcW w:type="dxa" w:w="17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USENIX Security Symposium, 2023</w:t>
            </w:r>
          </w:p>
        </w:tc>
        <w:tc>
          <w:tcPr>
            <w:tcW w:type="dxa" w:w="206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Represents an entire privacy policy as a knowledge graph (not isolated sentences) using the PoliGraph-er NLP pipeline; identifies far more collection statements than prior sentence-level tools at high precision; enables cross-policy pattern analysis, contradiction detection, and policy-vs-network-traffic consistency checking.</w:t>
            </w:r>
          </w:p>
        </w:tc>
      </w:tr>
      <w:tr>
        <w:tc>
          <w:tcPr>
            <w:tcW w:type="dxa" w:w="5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2</w:t>
            </w:r>
          </w:p>
        </w:tc>
        <w:tc>
          <w:tcPr>
            <w:tcW w:type="dxa" w:w="2900"/>
            <w:shd w:fill="F2F2F2" w:val="clear"/>
            <w:tcMar>
              <w:top w:type="dxa" w:w="100"/>
              <w:left w:type="dxa" w:w="120"/>
              <w:bottom w:type="dxa" w:w="100"/>
              <w:right w:type="dxa" w:w="120"/>
            </w:tcMar>
          </w:tcPr>
          <w:p>
            <w:r>
              <w:rPr>
                <w:rFonts w:ascii="Calibri" w:cs="Calibri" w:eastAsia="Calibri" w:hAnsi="Calibri"/>
                <w:b/>
                <w:bCs/>
                <w:sz w:val="20"/>
                <w:szCs w:val="20"/>
              </w:rPr>
              <w:t xml:space="preserve">PolicyLint: Investigating Internal Privacy Policy Contradictions on Google Play</w:t>
            </w:r>
          </w:p>
        </w:tc>
        <w:tc>
          <w:tcPr>
            <w:tcW w:type="dxa" w:w="22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Andow, B., Mahmud, S. Y., Wang, W., Whitaker, J., Enck, W., Reaves, B., Singh, K., &amp; Xie, T.</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USENIX Security Symposium, 2019</w:t>
            </w:r>
          </w:p>
        </w:tc>
        <w:tc>
          <w:tcPr>
            <w:tcW w:type="dxa" w:w="206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Detects logical contradictions within a single privacy policy by jointly modeling negation and semantic hierarchy of data objects/entities; analyzed 11,430 policies and found ~14% contain contradictions, many traced to misleading or auto-generated boilerplate text.</w:t>
            </w:r>
          </w:p>
        </w:tc>
      </w:tr>
      <w:tr>
        <w:tc>
          <w:tcPr>
            <w:tcW w:type="dxa" w:w="5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3</w:t>
            </w:r>
          </w:p>
        </w:tc>
        <w:tc>
          <w:tcPr>
            <w:tcW w:type="dxa" w:w="2900"/>
            <w:shd w:fill="FFFFFF" w:val="clear"/>
            <w:tcMar>
              <w:top w:type="dxa" w:w="100"/>
              <w:left w:type="dxa" w:w="120"/>
              <w:bottom w:type="dxa" w:w="100"/>
              <w:right w:type="dxa" w:w="120"/>
            </w:tcMar>
          </w:tcPr>
          <w:p>
            <w:r>
              <w:rPr>
                <w:rFonts w:ascii="Calibri" w:cs="Calibri" w:eastAsia="Calibri" w:hAnsi="Calibri"/>
                <w:b/>
                <w:bCs/>
                <w:sz w:val="20"/>
                <w:szCs w:val="20"/>
              </w:rPr>
              <w:t xml:space="preserve">Actions Speak Louder than Words: Entity-Sensitive Privacy Policy and Data Flow Analysis with PoliCheck</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Andow, B., Mahmud, S. Y., Whitaker, J., Enck, W., Reaves, B., Singh, K., &amp; Egelman, S.</w:t>
            </w:r>
          </w:p>
        </w:tc>
        <w:tc>
          <w:tcPr>
            <w:tcW w:type="dxa" w:w="17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USENIX Security Symposium, 2020</w:t>
            </w:r>
          </w:p>
        </w:tc>
        <w:tc>
          <w:tcPr>
            <w:tcW w:type="dxa" w:w="206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Formalizes an entity-sensitive flow-to-policy consistency model that distinguishes first-party from third-party data recipients when comparing declared privacy practices against actual observed app network data flows.</w:t>
            </w:r>
          </w:p>
        </w:tc>
      </w:tr>
      <w:tr>
        <w:tc>
          <w:tcPr>
            <w:tcW w:type="dxa" w:w="5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4</w:t>
            </w:r>
          </w:p>
        </w:tc>
        <w:tc>
          <w:tcPr>
            <w:tcW w:type="dxa" w:w="2900"/>
            <w:shd w:fill="F2F2F2" w:val="clear"/>
            <w:tcMar>
              <w:top w:type="dxa" w:w="100"/>
              <w:left w:type="dxa" w:w="120"/>
              <w:bottom w:type="dxa" w:w="100"/>
              <w:right w:type="dxa" w:w="120"/>
            </w:tcMar>
          </w:tcPr>
          <w:p>
            <w:r>
              <w:rPr>
                <w:rFonts w:ascii="Calibri" w:cs="Calibri" w:eastAsia="Calibri" w:hAnsi="Calibri"/>
                <w:b/>
                <w:bCs/>
                <w:sz w:val="20"/>
                <w:szCs w:val="20"/>
              </w:rPr>
              <w:t xml:space="preserve">WHYPER: Towards Automating Risk Assessment of Mobile Applications</w:t>
            </w:r>
          </w:p>
        </w:tc>
        <w:tc>
          <w:tcPr>
            <w:tcW w:type="dxa" w:w="22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Pandita, R., Xiao, X., Yang, W., Enck, W., &amp; Xie, T.</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USENIX Security Symposium, 2013</w:t>
            </w:r>
          </w:p>
        </w:tc>
        <w:tc>
          <w:tcPr>
            <w:tcW w:type="dxa" w:w="206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Uses NLP to identify sentences in an app's natural-language description that justify a requested Android permission, bridging the semantic gap between user expectations and requested functionality.</w:t>
            </w:r>
          </w:p>
        </w:tc>
      </w:tr>
      <w:tr>
        <w:tc>
          <w:tcPr>
            <w:tcW w:type="dxa" w:w="5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5</w:t>
            </w:r>
          </w:p>
        </w:tc>
        <w:tc>
          <w:tcPr>
            <w:tcW w:type="dxa" w:w="2900"/>
            <w:shd w:fill="FFFFFF" w:val="clear"/>
            <w:tcMar>
              <w:top w:type="dxa" w:w="100"/>
              <w:left w:type="dxa" w:w="120"/>
              <w:bottom w:type="dxa" w:w="100"/>
              <w:right w:type="dxa" w:w="120"/>
            </w:tcMar>
          </w:tcPr>
          <w:p>
            <w:r>
              <w:rPr>
                <w:rFonts w:ascii="Calibri" w:cs="Calibri" w:eastAsia="Calibri" w:hAnsi="Calibri"/>
                <w:b/>
                <w:bCs/>
                <w:sz w:val="20"/>
                <w:szCs w:val="20"/>
              </w:rPr>
              <w:t xml:space="preserve">AutoCog: Measuring the Description-to-Permission Fidelity in Android Applications</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Qu, Z., Rastogi, V., Zhang, X., Chen, Y., Zhu, T., &amp; Chen, Z.</w:t>
            </w:r>
          </w:p>
        </w:tc>
        <w:tc>
          <w:tcPr>
            <w:tcW w:type="dxa" w:w="17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ACM SIGSAC Conference on Computer and Communications Security (CCS), 2014</w:t>
            </w:r>
          </w:p>
        </w:tc>
        <w:tc>
          <w:tcPr>
            <w:tcW w:type="dxa" w:w="206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Formalizes 'description-to-permission fidelity' and builds a learning-based system to flag Android permissions not evidenced by an app's description, achieving ~92-93% precision/recall across evaluated permissions at scale (45,811 apps).</w:t>
            </w:r>
          </w:p>
        </w:tc>
      </w:tr>
      <w:tr>
        <w:tc>
          <w:tcPr>
            <w:tcW w:type="dxa" w:w="5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6</w:t>
            </w:r>
          </w:p>
        </w:tc>
        <w:tc>
          <w:tcPr>
            <w:tcW w:type="dxa" w:w="2900"/>
            <w:shd w:fill="F2F2F2" w:val="clear"/>
            <w:tcMar>
              <w:top w:type="dxa" w:w="100"/>
              <w:left w:type="dxa" w:w="120"/>
              <w:bottom w:type="dxa" w:w="100"/>
              <w:right w:type="dxa" w:w="120"/>
            </w:tcMar>
          </w:tcPr>
          <w:p>
            <w:r>
              <w:rPr>
                <w:rFonts w:ascii="Calibri" w:cs="Calibri" w:eastAsia="Calibri" w:hAnsi="Calibri"/>
                <w:b/>
                <w:bCs/>
                <w:sz w:val="20"/>
                <w:szCs w:val="20"/>
              </w:rPr>
              <w:t xml:space="preserve">Android Permissions Demystified (Stowaway)</w:t>
            </w:r>
          </w:p>
        </w:tc>
        <w:tc>
          <w:tcPr>
            <w:tcW w:type="dxa" w:w="22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Felt, A. P., Chin, E., Hanna, S., Song, D., &amp; Wagner, D.</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ACM Conference on Computer and Communications Security (CCS), 2011</w:t>
            </w:r>
          </w:p>
        </w:tc>
        <w:tc>
          <w:tcPr>
            <w:tcW w:type="dxa" w:w="206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Builds Stowaway, a static-analysis tool that detects Android app overprivilege, finding that roughly one-third of studied apps requested more permissions than they actually used.</w:t>
            </w:r>
          </w:p>
        </w:tc>
      </w:tr>
      <w:tr>
        <w:tc>
          <w:tcPr>
            <w:tcW w:type="dxa" w:w="5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7</w:t>
            </w:r>
          </w:p>
        </w:tc>
        <w:tc>
          <w:tcPr>
            <w:tcW w:type="dxa" w:w="2900"/>
            <w:shd w:fill="FFFFFF" w:val="clear"/>
            <w:tcMar>
              <w:top w:type="dxa" w:w="100"/>
              <w:left w:type="dxa" w:w="120"/>
              <w:bottom w:type="dxa" w:w="100"/>
              <w:right w:type="dxa" w:w="120"/>
            </w:tcMar>
          </w:tcPr>
          <w:p>
            <w:r>
              <w:rPr>
                <w:rFonts w:ascii="Calibri" w:cs="Calibri" w:eastAsia="Calibri" w:hAnsi="Calibri"/>
                <w:b/>
                <w:bCs/>
                <w:sz w:val="20"/>
                <w:szCs w:val="20"/>
              </w:rPr>
              <w:t xml:space="preserve">TKPERM: Cross-Platform Permission Knowledge Transfer to Detect Overprivileged Third-Party Applications</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(TKPERM authors, per NDSS proceedings)</w:t>
            </w:r>
          </w:p>
        </w:tc>
        <w:tc>
          <w:tcPr>
            <w:tcW w:type="dxa" w:w="17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Network and Distributed System Security Symposium (NDSS), 2020</w:t>
            </w:r>
          </w:p>
        </w:tc>
        <w:tc>
          <w:tcPr>
            <w:tcW w:type="dxa" w:w="206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Extends description-to-permission fidelity checking (WHYPER/AutoCog) using cross-platform knowledge transfer, generalizing permission-necessity inference beyond hand-labeled keyword sets.</w:t>
            </w:r>
          </w:p>
        </w:tc>
      </w:tr>
      <w:tr>
        <w:tc>
          <w:tcPr>
            <w:tcW w:type="dxa" w:w="5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8</w:t>
            </w:r>
          </w:p>
        </w:tc>
        <w:tc>
          <w:tcPr>
            <w:tcW w:type="dxa" w:w="2900"/>
            <w:shd w:fill="F2F2F2" w:val="clear"/>
            <w:tcMar>
              <w:top w:type="dxa" w:w="100"/>
              <w:left w:type="dxa" w:w="120"/>
              <w:bottom w:type="dxa" w:w="100"/>
              <w:right w:type="dxa" w:w="120"/>
            </w:tcMar>
          </w:tcPr>
          <w:p>
            <w:r>
              <w:rPr>
                <w:rFonts w:ascii="Calibri" w:cs="Calibri" w:eastAsia="Calibri" w:hAnsi="Calibri"/>
                <w:b/>
                <w:bCs/>
                <w:sz w:val="20"/>
                <w:szCs w:val="20"/>
              </w:rPr>
              <w:t xml:space="preserve">Harnessing Language Models to Analyze Android App Permission Fidelity</w:t>
            </w:r>
          </w:p>
        </w:tc>
        <w:tc>
          <w:tcPr>
            <w:tcW w:type="dxa" w:w="22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(LDKLab authors)</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IEEE PST (Privacy, Security and Trust), 2025</w:t>
            </w:r>
          </w:p>
        </w:tc>
        <w:tc>
          <w:tcPr>
            <w:tcW w:type="dxa" w:w="206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Applies LLMs directly to the permission-fidelity classification task (predicting permission need from description sentences), reporting improvements over WHYPER, AutoCog, and AC-Net baselines.</w:t>
            </w:r>
          </w:p>
        </w:tc>
      </w:tr>
      <w:tr>
        <w:tc>
          <w:tcPr>
            <w:tcW w:type="dxa" w:w="5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9</w:t>
            </w:r>
          </w:p>
        </w:tc>
        <w:tc>
          <w:tcPr>
            <w:tcW w:type="dxa" w:w="2900"/>
            <w:shd w:fill="FFFFFF" w:val="clear"/>
            <w:tcMar>
              <w:top w:type="dxa" w:w="100"/>
              <w:left w:type="dxa" w:w="120"/>
              <w:bottom w:type="dxa" w:w="100"/>
              <w:right w:type="dxa" w:w="120"/>
            </w:tcMar>
          </w:tcPr>
          <w:p>
            <w:r>
              <w:rPr>
                <w:rFonts w:ascii="Calibri" w:cs="Calibri" w:eastAsia="Calibri" w:hAnsi="Calibri"/>
                <w:b/>
                <w:bCs/>
                <w:sz w:val="20"/>
                <w:szCs w:val="20"/>
              </w:rPr>
              <w:t xml:space="preserve">Operationalizing the Legal Principle of Data Minimization for Personalization</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Biega, A. J., Potash, P., Daumé III, H., Diaz, F., &amp; Finck, M.</w:t>
            </w:r>
          </w:p>
        </w:tc>
        <w:tc>
          <w:tcPr>
            <w:tcW w:type="dxa" w:w="17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ACM SIGIR Conference on Research and Development in Information Retrieval, 2020</w:t>
            </w:r>
          </w:p>
        </w:tc>
        <w:tc>
          <w:tcPr>
            <w:tcW w:type="dxa" w:w="206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Provides one of the few concrete computational formalizations of GDPR data-minimization ('necessity') applied specifically to personalization and ranking systems.</w:t>
            </w:r>
          </w:p>
        </w:tc>
      </w:tr>
      <w:tr>
        <w:tc>
          <w:tcPr>
            <w:tcW w:type="dxa" w:w="5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10</w:t>
            </w:r>
          </w:p>
        </w:tc>
        <w:tc>
          <w:tcPr>
            <w:tcW w:type="dxa" w:w="2900"/>
            <w:shd w:fill="F2F2F2" w:val="clear"/>
            <w:tcMar>
              <w:top w:type="dxa" w:w="100"/>
              <w:left w:type="dxa" w:w="120"/>
              <w:bottom w:type="dxa" w:w="100"/>
              <w:right w:type="dxa" w:w="120"/>
            </w:tcMar>
          </w:tcPr>
          <w:p>
            <w:r>
              <w:rPr>
                <w:rFonts w:ascii="Calibri" w:cs="Calibri" w:eastAsia="Calibri" w:hAnsi="Calibri"/>
                <w:b/>
                <w:bCs/>
                <w:sz w:val="20"/>
                <w:szCs w:val="20"/>
              </w:rPr>
              <w:t xml:space="preserve">A Systematic Review of Privacy Policy Literature</w:t>
            </w:r>
          </w:p>
        </w:tc>
        <w:tc>
          <w:tcPr>
            <w:tcW w:type="dxa" w:w="22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(Multiple authors)</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ACM Computing Surveys, 2024</w:t>
            </w:r>
          </w:p>
        </w:tc>
        <w:tc>
          <w:tcPr>
            <w:tcW w:type="dxa" w:w="206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Surveys ~86 papers on privacy-policy research, finding ~42% use ML/NLP/DL for automated analysis; describes the common violation-detection architecture of comparing policy-derived tuples against code/traffic-derived tuples.</w:t>
            </w:r>
          </w:p>
        </w:tc>
      </w:tr>
      <w:tr>
        <w:tc>
          <w:tcPr>
            <w:tcW w:type="dxa" w:w="5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11</w:t>
            </w:r>
          </w:p>
        </w:tc>
        <w:tc>
          <w:tcPr>
            <w:tcW w:type="dxa" w:w="2900"/>
            <w:shd w:fill="FFFFFF" w:val="clear"/>
            <w:tcMar>
              <w:top w:type="dxa" w:w="100"/>
              <w:left w:type="dxa" w:w="120"/>
              <w:bottom w:type="dxa" w:w="100"/>
              <w:right w:type="dxa" w:w="120"/>
            </w:tcMar>
          </w:tcPr>
          <w:p>
            <w:r>
              <w:rPr>
                <w:rFonts w:ascii="Calibri" w:cs="Calibri" w:eastAsia="Calibri" w:hAnsi="Calibri"/>
                <w:b/>
                <w:bCs/>
                <w:sz w:val="20"/>
                <w:szCs w:val="20"/>
              </w:rPr>
              <w:t xml:space="preserve">A Systematic Mapping Study on Automated Analysis of Privacy Policies</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(Multiple authors)</w:t>
            </w:r>
          </w:p>
        </w:tc>
        <w:tc>
          <w:tcPr>
            <w:tcW w:type="dxa" w:w="17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Springer, Computing, 2022</w:t>
            </w:r>
          </w:p>
        </w:tc>
        <w:tc>
          <w:tcPr>
            <w:tcW w:type="dxa" w:w="206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Maps the automated privacy-policy analysis field by goal (law compliance, system-behavior checking, user information, researcher insight) and NLP technique (symbolic vs. statistical), noting the field's relative immaturity as of 2022.</w:t>
            </w:r>
          </w:p>
        </w:tc>
      </w:tr>
      <w:tr>
        <w:tc>
          <w:tcPr>
            <w:tcW w:type="dxa" w:w="5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12</w:t>
            </w:r>
          </w:p>
        </w:tc>
        <w:tc>
          <w:tcPr>
            <w:tcW w:type="dxa" w:w="2900"/>
            <w:shd w:fill="F2F2F2" w:val="clear"/>
            <w:tcMar>
              <w:top w:type="dxa" w:w="100"/>
              <w:left w:type="dxa" w:w="120"/>
              <w:bottom w:type="dxa" w:w="100"/>
              <w:right w:type="dxa" w:w="120"/>
            </w:tcMar>
          </w:tcPr>
          <w:p>
            <w:r>
              <w:rPr>
                <w:rFonts w:ascii="Calibri" w:cs="Calibri" w:eastAsia="Calibri" w:hAnsi="Calibri"/>
                <w:b/>
                <w:bCs/>
                <w:sz w:val="20"/>
                <w:szCs w:val="20"/>
              </w:rPr>
              <w:t xml:space="preserve">LADFA: A Framework of Using Large Language Models and Retrieval-Augmented Generation for Personal Data Flow Analysis in Privacy Policies</w:t>
            </w:r>
          </w:p>
        </w:tc>
        <w:tc>
          <w:tcPr>
            <w:tcW w:type="dxa" w:w="22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(Multiple authors)</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arXiv preprint, 2025/2026</w:t>
            </w:r>
          </w:p>
        </w:tc>
        <w:tc>
          <w:tcPr>
            <w:tcW w:type="dxa" w:w="206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Surveys ML/NLP approaches to privacy-policy analysis (readability, PI-Extract, PolicyLint) and proposes an LLM+RAG framework for extracting personal data flow statements from policy text.</w:t>
            </w:r>
          </w:p>
        </w:tc>
      </w:tr>
      <w:tr>
        <w:tc>
          <w:tcPr>
            <w:tcW w:type="dxa" w:w="5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13</w:t>
            </w:r>
          </w:p>
        </w:tc>
        <w:tc>
          <w:tcPr>
            <w:tcW w:type="dxa" w:w="2900"/>
            <w:shd w:fill="FFFFFF" w:val="clear"/>
            <w:tcMar>
              <w:top w:type="dxa" w:w="100"/>
              <w:left w:type="dxa" w:w="120"/>
              <w:bottom w:type="dxa" w:w="100"/>
              <w:right w:type="dxa" w:w="120"/>
            </w:tcMar>
          </w:tcPr>
          <w:p>
            <w:r>
              <w:rPr>
                <w:rFonts w:ascii="Calibri" w:cs="Calibri" w:eastAsia="Calibri" w:hAnsi="Calibri"/>
                <w:b/>
                <w:bCs/>
                <w:sz w:val="20"/>
                <w:szCs w:val="20"/>
              </w:rPr>
              <w:t xml:space="preserve">Explainable AI in Usable Privacy and Security: Challenges and Opportunities</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Freiberger, V. et al.</w:t>
            </w:r>
          </w:p>
        </w:tc>
        <w:tc>
          <w:tcPr>
            <w:tcW w:type="dxa" w:w="17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arXiv preprint, 2025</w:t>
            </w:r>
          </w:p>
        </w:tc>
        <w:tc>
          <w:tcPr>
            <w:tcW w:type="dxa" w:w="206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Discusses PRISMe, an interactive LLM-as-judge privacy-policy assessment tool with a chat interface, and reports a 22-participant user study; identifies trade-offs between explanation transparency/robustness and personalization/privacy.</w:t>
            </w:r>
          </w:p>
        </w:tc>
      </w:tr>
      <w:tr>
        <w:tc>
          <w:tcPr>
            <w:tcW w:type="dxa" w:w="5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14</w:t>
            </w:r>
          </w:p>
        </w:tc>
        <w:tc>
          <w:tcPr>
            <w:tcW w:type="dxa" w:w="2900"/>
            <w:shd w:fill="F2F2F2" w:val="clear"/>
            <w:tcMar>
              <w:top w:type="dxa" w:w="100"/>
              <w:left w:type="dxa" w:w="120"/>
              <w:bottom w:type="dxa" w:w="100"/>
              <w:right w:type="dxa" w:w="120"/>
            </w:tcMar>
          </w:tcPr>
          <w:p>
            <w:r>
              <w:rPr>
                <w:rFonts w:ascii="Calibri" w:cs="Calibri" w:eastAsia="Calibri" w:hAnsi="Calibri"/>
                <w:b/>
                <w:bCs/>
                <w:sz w:val="20"/>
                <w:szCs w:val="20"/>
              </w:rPr>
              <w:t xml:space="preserve">A Privacy Scoring Framework: Automation of Privacy Compliance and Risk Evaluation with Standard Indicators</w:t>
            </w:r>
          </w:p>
        </w:tc>
        <w:tc>
          <w:tcPr>
            <w:tcW w:type="dxa" w:w="22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(Multiple authors)</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Elsevier, Journal of King Saud University (ScienceDirect), 2022/2023</w:t>
            </w:r>
          </w:p>
        </w:tc>
        <w:tc>
          <w:tcPr>
            <w:tcW w:type="dxa" w:w="206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Proposes an ML-based hierarchical classifier framework producing standardized privacy indicators and quantified privacy scores, evaluated across 10,000+ Play Store apps and their privacy policies.</w:t>
            </w:r>
          </w:p>
        </w:tc>
      </w:tr>
      <w:tr>
        <w:tc>
          <w:tcPr>
            <w:tcW w:type="dxa" w:w="5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15</w:t>
            </w:r>
          </w:p>
        </w:tc>
        <w:tc>
          <w:tcPr>
            <w:tcW w:type="dxa" w:w="2900"/>
            <w:shd w:fill="FFFFFF" w:val="clear"/>
            <w:tcMar>
              <w:top w:type="dxa" w:w="100"/>
              <w:left w:type="dxa" w:w="120"/>
              <w:bottom w:type="dxa" w:w="100"/>
              <w:right w:type="dxa" w:w="120"/>
            </w:tcMar>
          </w:tcPr>
          <w:p>
            <w:r>
              <w:rPr>
                <w:rFonts w:ascii="Calibri" w:cs="Calibri" w:eastAsia="Calibri" w:hAnsi="Calibri"/>
                <w:b/>
                <w:bCs/>
                <w:sz w:val="20"/>
                <w:szCs w:val="20"/>
              </w:rPr>
              <w:t xml:space="preserve">What Are Your Privacy Risks? Privacy Risk Assessment Based on Privacy Policies Analysis</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(Multiple authors)</w:t>
            </w:r>
          </w:p>
        </w:tc>
        <w:tc>
          <w:tcPr>
            <w:tcW w:type="dxa" w:w="17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Elsevier, Expert Systems with Applications (ScienceDirect), 2025</w:t>
            </w:r>
          </w:p>
        </w:tc>
        <w:tc>
          <w:tcPr>
            <w:tcW w:type="dxa" w:w="206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Proposes an ontology-based, expert-informed methodology for calculating a quantitative privacy risk score directly from privacy-policy text, addressing the lack of an end-to-end risk-assessment methodology.</w:t>
            </w:r>
          </w:p>
        </w:tc>
      </w:tr>
      <w:tr>
        <w:tc>
          <w:tcPr>
            <w:tcW w:type="dxa" w:w="5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16</w:t>
            </w:r>
          </w:p>
        </w:tc>
        <w:tc>
          <w:tcPr>
            <w:tcW w:type="dxa" w:w="2900"/>
            <w:shd w:fill="F2F2F2" w:val="clear"/>
            <w:tcMar>
              <w:top w:type="dxa" w:w="100"/>
              <w:left w:type="dxa" w:w="120"/>
              <w:bottom w:type="dxa" w:w="100"/>
              <w:right w:type="dxa" w:w="120"/>
            </w:tcMar>
          </w:tcPr>
          <w:p>
            <w:r>
              <w:rPr>
                <w:rFonts w:ascii="Calibri" w:cs="Calibri" w:eastAsia="Calibri" w:hAnsi="Calibri"/>
                <w:b/>
                <w:bCs/>
                <w:sz w:val="20"/>
                <w:szCs w:val="20"/>
              </w:rPr>
              <w:t xml:space="preserve">PrivComp-KG: Leveraging Knowledge Graph and Large Language Models for Privacy Policy Compliance Verification</w:t>
            </w:r>
          </w:p>
        </w:tc>
        <w:tc>
          <w:tcPr>
            <w:tcW w:type="dxa" w:w="22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Garza, L., Elluri, L., Kotal, A., Piplai, A., Gupta, D., &amp; Joshi, A.</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arXiv preprint, 2024</w:t>
            </w:r>
          </w:p>
        </w:tc>
        <w:tc>
          <w:tcPr>
            <w:tcW w:type="dxa" w:w="206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Combines an LLM (via RAG) with a GDPR-derived knowledge graph to align privacy-policy text to specific GDPR articles and execute rule-based (SWRL) compliance checks.</w:t>
            </w:r>
          </w:p>
        </w:tc>
      </w:tr>
      <w:tr>
        <w:tc>
          <w:tcPr>
            <w:tcW w:type="dxa" w:w="5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17</w:t>
            </w:r>
          </w:p>
        </w:tc>
        <w:tc>
          <w:tcPr>
            <w:tcW w:type="dxa" w:w="2900"/>
            <w:shd w:fill="FFFFFF" w:val="clear"/>
            <w:tcMar>
              <w:top w:type="dxa" w:w="100"/>
              <w:left w:type="dxa" w:w="120"/>
              <w:bottom w:type="dxa" w:w="100"/>
              <w:right w:type="dxa" w:w="120"/>
            </w:tcMar>
          </w:tcPr>
          <w:p>
            <w:r>
              <w:rPr>
                <w:rFonts w:ascii="Calibri" w:cs="Calibri" w:eastAsia="Calibri" w:hAnsi="Calibri"/>
                <w:b/>
                <w:bCs/>
                <w:sz w:val="20"/>
                <w:szCs w:val="20"/>
              </w:rPr>
              <w:t xml:space="preserve">GraphCompliance: Aligning Policy and Context Graphs for LLM-Based Regulatory Compliance</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(Multiple authors)</w:t>
            </w:r>
          </w:p>
        </w:tc>
        <w:tc>
          <w:tcPr>
            <w:tcW w:type="dxa" w:w="17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arXiv preprint, 2025</w:t>
            </w:r>
          </w:p>
        </w:tc>
        <w:tc>
          <w:tcPr>
            <w:tcW w:type="dxa" w:w="206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Aligns a policy knowledge graph with a context knowledge graph for LLM-based regulatory compliance reasoning, addressing prior systems' weakness of operating on isolated text segments without cross-article tracking.</w:t>
            </w:r>
          </w:p>
        </w:tc>
      </w:tr>
      <w:tr>
        <w:tc>
          <w:tcPr>
            <w:tcW w:type="dxa" w:w="5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18</w:t>
            </w:r>
          </w:p>
        </w:tc>
        <w:tc>
          <w:tcPr>
            <w:tcW w:type="dxa" w:w="2900"/>
            <w:shd w:fill="F2F2F2" w:val="clear"/>
            <w:tcMar>
              <w:top w:type="dxa" w:w="100"/>
              <w:left w:type="dxa" w:w="120"/>
              <w:bottom w:type="dxa" w:w="100"/>
              <w:right w:type="dxa" w:w="120"/>
            </w:tcMar>
          </w:tcPr>
          <w:p>
            <w:r>
              <w:rPr>
                <w:rFonts w:ascii="Calibri" w:cs="Calibri" w:eastAsia="Calibri" w:hAnsi="Calibri"/>
                <w:b/>
                <w:bCs/>
                <w:sz w:val="20"/>
                <w:szCs w:val="20"/>
              </w:rPr>
              <w:t xml:space="preserve">Let's Measure the Elephant in the Room: Facilitating Personalized Automated Analysis of Privacy Policies at Scale (PoliAnalyzer)</w:t>
            </w:r>
          </w:p>
        </w:tc>
        <w:tc>
          <w:tcPr>
            <w:tcW w:type="dxa" w:w="22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(Multiple authors)</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arXiv preprint, 2025</w:t>
            </w:r>
          </w:p>
        </w:tc>
        <w:tc>
          <w:tcPr>
            <w:tcW w:type="dxa" w:w="206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Introduces PoliAnalyzer, an LLM-driven NLP pipeline (built on the PolicyIE schema) that converts privacy-policy text into a formal, queryable representation supporting personalized, user-preference-based policy analysis at scale.</w:t>
            </w:r>
          </w:p>
        </w:tc>
      </w:tr>
      <w:tr>
        <w:tc>
          <w:tcPr>
            <w:tcW w:type="dxa" w:w="5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19</w:t>
            </w:r>
          </w:p>
        </w:tc>
        <w:tc>
          <w:tcPr>
            <w:tcW w:type="dxa" w:w="2900"/>
            <w:shd w:fill="FFFFFF" w:val="clear"/>
            <w:tcMar>
              <w:top w:type="dxa" w:w="100"/>
              <w:left w:type="dxa" w:w="120"/>
              <w:bottom w:type="dxa" w:w="100"/>
              <w:right w:type="dxa" w:w="120"/>
            </w:tcMar>
          </w:tcPr>
          <w:p>
            <w:r>
              <w:rPr>
                <w:rFonts w:ascii="Calibri" w:cs="Calibri" w:eastAsia="Calibri" w:hAnsi="Calibri"/>
                <w:b/>
                <w:bCs/>
                <w:sz w:val="20"/>
                <w:szCs w:val="20"/>
              </w:rPr>
              <w:t xml:space="preserve">GDPR Compliance in the Context of Continuous Integration</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(Multiple authors)</w:t>
            </w:r>
          </w:p>
        </w:tc>
        <w:tc>
          <w:tcPr>
            <w:tcW w:type="dxa" w:w="17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arXiv preprint, 2020</w:t>
            </w:r>
          </w:p>
        </w:tc>
        <w:tc>
          <w:tcPr>
            <w:tcW w:type="dxa" w:w="206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A design-science study operationalizing select GDPR principles (including data minimization) into automatically-checkable software requirements within a CI pipeline; explicitly declines to operationalize purpose limitation, citing its subjectivity.</w:t>
            </w:r>
          </w:p>
        </w:tc>
      </w:tr>
      <w:tr>
        <w:tc>
          <w:tcPr>
            <w:tcW w:type="dxa" w:w="5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20</w:t>
            </w:r>
          </w:p>
        </w:tc>
        <w:tc>
          <w:tcPr>
            <w:tcW w:type="dxa" w:w="2900"/>
            <w:shd w:fill="F2F2F2" w:val="clear"/>
            <w:tcMar>
              <w:top w:type="dxa" w:w="100"/>
              <w:left w:type="dxa" w:w="120"/>
              <w:bottom w:type="dxa" w:w="100"/>
              <w:right w:type="dxa" w:w="120"/>
            </w:tcMar>
          </w:tcPr>
          <w:p>
            <w:r>
              <w:rPr>
                <w:rFonts w:ascii="Calibri" w:cs="Calibri" w:eastAsia="Calibri" w:hAnsi="Calibri"/>
                <w:b/>
                <w:bCs/>
                <w:sz w:val="20"/>
                <w:szCs w:val="20"/>
              </w:rPr>
              <w:t xml:space="preserve">Using LLMs for Automated Privacy Policy Analysis: Prompt Engineering, Fine-Tuning and Explainability</w:t>
            </w:r>
          </w:p>
        </w:tc>
        <w:tc>
          <w:tcPr>
            <w:tcW w:type="dxa" w:w="22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(Multiple authors)</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arXiv preprint, 2025</w:t>
            </w:r>
          </w:p>
        </w:tc>
        <w:tc>
          <w:tcPr>
            <w:tcW w:type="dxa" w:w="2060"/>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Evaluates LLM-based privacy-policy concept classifiers using prompt engineering and LoRA fine-tuning across four SOTA privacy-policy corpora/taxonomies, and measures explainability via completeness, logicality, and comprehensibility metrics.</w:t>
            </w:r>
          </w:p>
        </w:tc>
      </w:tr>
    </w:tbl>
    <w:p>
      <w:pPr>
        <w:spacing w:after="300"/>
      </w:pPr>
    </w:p>
    <w:p>
      <w:pPr>
        <w:pStyle w:val="Heading1"/>
        <w:spacing w:after="120" w:before="280"/>
      </w:pPr>
      <w:r>
        <w:t xml:space="preserve">Narrative Literature Review</w:t>
      </w:r>
    </w:p>
    <w:p>
      <w:pPr>
        <w:pStyle w:val="Heading2"/>
        <w:spacing w:after="120" w:before="280"/>
      </w:pPr>
      <w:r>
        <w:t xml:space="preserve">4.1 Privacy-Policy Analysis: Field-Level Surveys</w:t>
      </w:r>
    </w:p>
    <w:p>
      <w:pPr>
        <w:spacing w:after="160"/>
        <w:jc w:val="both"/>
      </w:pPr>
      <w:r>
        <w:rPr>
          <w:rFonts w:ascii="Calibri" w:cs="Calibri" w:eastAsia="Calibri" w:hAnsi="Calibri"/>
          <w:sz w:val="22"/>
          <w:szCs w:val="22"/>
        </w:rPr>
        <w:t xml:space="preserve">A 2024 ACM Computing Surveys systematic review of the privacy-policy literature found that a large share of the reviewed corpus (roughly 42% of ~86 relevant papers) uses ML/NLP/DL techniques for automated analysis, spanning summarization, ontology extraction, and violation detection. The review describes a common architecture for violation detection: derive an ontology mapping policy phrases to data-practice tuples, extract policy-side tuples, separately extract code/traffic-side tuples via static or dynamic analysis, then compare the two tuple sets for inconsistency. This is the closest existing structural template to FDO-Privacy's comparison step, but its two sides are policy text and actual code behavior — not policy text and inferred functional necessity. An earlier (2022) Springer systematic mapping study similarly finds the field organized around law compliance, system-behavior checking, and user-information goals, and notes the field was still consolidating at the intersection of privacy-policy analysis and text-analysis methods.</w:t>
      </w:r>
    </w:p>
    <w:p>
      <w:pPr>
        <w:pStyle w:val="Heading2"/>
        <w:spacing w:after="120" w:before="280"/>
      </w:pPr>
      <w:r>
        <w:t xml:space="preserve">4.2 Automated Summarization and Information Extraction</w:t>
      </w:r>
    </w:p>
    <w:p>
      <w:pPr>
        <w:spacing w:after="160"/>
        <w:jc w:val="both"/>
      </w:pPr>
      <w:r>
        <w:rPr>
          <w:rFonts w:ascii="Calibri" w:cs="Calibri" w:eastAsia="Calibri" w:hAnsi="Calibri"/>
          <w:sz w:val="22"/>
          <w:szCs w:val="22"/>
        </w:rPr>
        <w:t xml:space="preserve">Early large-scale readability work (e.g., Fabian et al.'s analysis of tens of thousands of policies using Flesch–Kincaid metrics) established the empirical motivation for automation: policies are reliably difficult to read. Extraction-focused systems such as PI-Extract use neural models to identify and annotate specific data-practice statements, with user studies showing that annotated practices improve reader comprehension. PolicyIE-derived work frames extraction as intent classification and slot filling over policy sentences. These systems answer 'what does the policy say' with increasing structure and accuracy but do not evaluate the plausibility of what is said relative to the application's function.</w:t>
      </w:r>
    </w:p>
    <w:p>
      <w:pPr>
        <w:pStyle w:val="Heading2"/>
        <w:spacing w:after="120" w:before="280"/>
      </w:pPr>
      <w:r>
        <w:t xml:space="preserve">4.3 Knowledge-Graph Representations of Privacy Policies</w:t>
      </w:r>
    </w:p>
    <w:p>
      <w:pPr>
        <w:spacing w:after="160"/>
        <w:jc w:val="both"/>
      </w:pPr>
      <w:r>
        <w:rPr>
          <w:rFonts w:ascii="Calibri" w:cs="Calibri" w:eastAsia="Calibri" w:hAnsi="Calibri"/>
          <w:sz w:val="22"/>
          <w:szCs w:val="22"/>
        </w:rPr>
        <w:t xml:space="preserve">PoliGraph (Cui, Trimananda, Markopoulou &amp; Jordan, USENIX Security 2023) is the most directly relevant knowledge-graph precedent. It represents an entire privacy policy — not isolated sentences — as a knowledge graph built via the PoliGraph-er NLP pipeline, which identifies substantially more collection statements than prior sentence-level state of the art at high precision (~97%). PoliGraph's applications include revealing cross-policy patterns, checking term correctness, detecting internal contradictions, and analyzing consistency between the policy and observed network traffic. Its methodology is directly reusable for FDO-Privacy's extraction and knowledge-graph objectives, but it does not model application functionality or evaluate functional necessity.</w:t>
      </w:r>
    </w:p>
    <w:p>
      <w:pPr>
        <w:pStyle w:val="Heading2"/>
        <w:spacing w:after="120" w:before="280"/>
      </w:pPr>
      <w:r>
        <w:t xml:space="preserve">4.4 Contradiction and Flow-to-Policy Consistency Analysis</w:t>
      </w:r>
    </w:p>
    <w:p>
      <w:pPr>
        <w:spacing w:after="160"/>
        <w:jc w:val="both"/>
      </w:pPr>
      <w:r>
        <w:rPr>
          <w:rFonts w:ascii="Calibri" w:cs="Calibri" w:eastAsia="Calibri" w:hAnsi="Calibri"/>
          <w:sz w:val="22"/>
          <w:szCs w:val="22"/>
        </w:rPr>
        <w:t xml:space="preserve">PolicyLint (Andow et al., USENIX Security 2019) formalized detection of internal contradictions in a single policy by jointly modeling negation and semantic hierarchy of data objects/entities, applying automatically generated ontologies to a corpus of over 11,000 apps and finding that roughly 14% of policies contain apparent contradictions. PoliCheck (Andow et al., USENIX Security 2020) extended this line with an entity-sensitive flow-to-policy consistency model, distinguishing first-party from third-party recipients when comparing declared practices against observed data flows. Both systems are about disclosure correctness rather than whether the disclosed or observed collection is functionally warranted in the first place.</w:t>
      </w:r>
    </w:p>
    <w:p>
      <w:pPr>
        <w:pStyle w:val="Heading2"/>
        <w:spacing w:after="120" w:before="280"/>
      </w:pPr>
      <w:r>
        <w:t xml:space="preserve">4.5 Functional / Description-to-Permission Fidelity (Closest Conceptual Precedent)</w:t>
      </w:r>
    </w:p>
    <w:p>
      <w:pPr>
        <w:spacing w:after="160"/>
        <w:jc w:val="both"/>
      </w:pPr>
      <w:r>
        <w:rPr>
          <w:rFonts w:ascii="Calibri" w:cs="Calibri" w:eastAsia="Calibri" w:hAnsi="Calibri"/>
          <w:sz w:val="22"/>
          <w:szCs w:val="22"/>
        </w:rPr>
        <w:t xml:space="preserve">WHYPER (Pandita et al., USENIX Security 2013) used NLP to find app-description sentences that justify a requested Android permission. AutoCog (Qu et al., ACM CCS 2014) formalized this as 'description-to-permission fidelity,' flagging permissions not evidenced by the app's description with high precision/recall at scale. Stowaway (Felt et al.) independently found roughly one-third of studied apps were overprivileged. TKPERM extended this with cross-platform knowledge transfer, and recent (2025) work applies LLMs directly to permission-fidelity classification. This line validates the core mechanic FDO-Privacy proposes but operates over coarse OS permission categories and short app-store descriptions, not fine-grained privacy-policy-declared data — leaving the generalization to full privacy-policy analysis unaddressed.</w:t>
      </w:r>
    </w:p>
    <w:p>
      <w:pPr>
        <w:pStyle w:val="Heading2"/>
        <w:spacing w:after="120" w:before="280"/>
      </w:pPr>
      <w:r>
        <w:t xml:space="preserve">4.6 Data Minimization and Purpose Limitation as Computational Targets</w:t>
      </w:r>
    </w:p>
    <w:p>
      <w:pPr>
        <w:spacing w:after="160"/>
        <w:jc w:val="both"/>
      </w:pPr>
      <w:r>
        <w:rPr>
          <w:rFonts w:ascii="Calibri" w:cs="Calibri" w:eastAsia="Calibri" w:hAnsi="Calibri"/>
          <w:sz w:val="22"/>
          <w:szCs w:val="22"/>
        </w:rPr>
        <w:t xml:space="preserve">GDPR's data-minimization (Art. 5(1)(c)) and purpose-limitation (Art. 5(1)(b)) principles are the closest legal analogues to 'functional necessity.' Design-science work on GDPR checks in CI pipelines explicitly declined to operationalize purpose limitation, citing subjectivity — evidence that automated necessity reasoning remains only partially solved. Biega et al. (SIGIR 2020) formalized data minimization specifically for personalization/ranking systems, offering one of the few concrete operationalizations of 'necessity,' though restricted to a single application class. Recent LLM/RAG privacy-compliance material discusses minimization as a constraint on retrieval pipelines themselves — a related but distinct problem from evaluating whether a third-party app's declared collection is necessary for its function.</w:t>
      </w:r>
    </w:p>
    <w:p>
      <w:pPr>
        <w:pStyle w:val="Heading2"/>
        <w:spacing w:after="120" w:before="280"/>
      </w:pPr>
      <w:r>
        <w:t xml:space="preserve">4.7 Privacy Risk Scoring and Rating</w:t>
      </w:r>
    </w:p>
    <w:p>
      <w:pPr>
        <w:spacing w:after="160"/>
        <w:jc w:val="both"/>
      </w:pPr>
      <w:r>
        <w:rPr>
          <w:rFonts w:ascii="Calibri" w:cs="Calibri" w:eastAsia="Calibri" w:hAnsi="Calibri"/>
          <w:sz w:val="22"/>
          <w:szCs w:val="22"/>
        </w:rPr>
        <w:t xml:space="preserve">Multiple lines produce a privacy score/rating from policy text: ML-based hierarchical classifiers producing standardized privacy indicators evaluated over 10,000+ apps; risk-calculation approaches combining probability/consequence modeling with ontology-based analysis; and patented commercial methods that assign risk levels to keyword/phrase matches. These demonstrate feasibility of large-scale scoring but converge on a single aggregate output rather than a decomposed, per-item judgment, and generally omit functional-necessity comparison.</w:t>
      </w:r>
    </w:p>
    <w:p>
      <w:pPr>
        <w:pStyle w:val="Heading2"/>
        <w:spacing w:after="120" w:before="280"/>
      </w:pPr>
      <w:r>
        <w:t xml:space="preserve">4.8 Explainable AI for Privacy</w:t>
      </w:r>
    </w:p>
    <w:p>
      <w:pPr>
        <w:spacing w:after="160"/>
        <w:jc w:val="both"/>
      </w:pPr>
      <w:r>
        <w:rPr>
          <w:rFonts w:ascii="Calibri" w:cs="Calibri" w:eastAsia="Calibri" w:hAnsi="Calibri"/>
          <w:sz w:val="22"/>
          <w:szCs w:val="22"/>
        </w:rPr>
        <w:t xml:space="preserve">The explainable-AI-for-privacy literature is comparatively young. PRISMe (discussed in a 2025 arXiv paper) is an interactive privacy-policy assessment tool using an LLM-as-judge architecture, evaluated in a 22-participant user study. This line identifies key tensions: a trade-off between explanation transparency and adversarial robustness (transparent heuristics can be gamed via wording changes), and a trade-off between explanation personalization and privacy (personalized explanations may require processing sensitive user data).</w:t>
      </w:r>
    </w:p>
    <w:p>
      <w:pPr>
        <w:pStyle w:val="Heading2"/>
        <w:spacing w:after="120" w:before="280"/>
      </w:pPr>
      <w:r>
        <w:t xml:space="preserve">4.9 Knowledge Graphs / GraphRAG for Regulatory and Privacy Compliance</w:t>
      </w:r>
    </w:p>
    <w:p>
      <w:pPr>
        <w:spacing w:after="160"/>
        <w:jc w:val="both"/>
      </w:pPr>
      <w:r>
        <w:rPr>
          <w:rFonts w:ascii="Calibri" w:cs="Calibri" w:eastAsia="Calibri" w:hAnsi="Calibri"/>
          <w:sz w:val="22"/>
          <w:szCs w:val="22"/>
        </w:rPr>
        <w:t xml:space="preserve">Recent (2024–2026) work extends knowledge-graph and RAG techniques to regulatory compliance verification: PrivComp-KG combines an LLM with a GDPR-derived knowledge graph to align policy text to specific articles and run rule-based compliance checks; GraphCompliance aligns a policy graph and a context graph for LLM-based compliance reasoning, addressing prior systems' weakness of operating on isolated text segments. PoliAnalyzer (2025) uses an LLM pipeline built on the PolicyIE schema to convert policy text into a formal, queryable representation for personalized analysis. This cluster remains policy-text-centric (aligning text to regulation) rather than functionality-centric (aligning text to what the application needs to do).</w:t>
      </w:r>
    </w:p>
    <w:p>
      <w:pPr>
        <w:pStyle w:val="Heading2"/>
        <w:spacing w:after="120" w:before="280"/>
      </w:pPr>
      <w:r>
        <w:t xml:space="preserve">4.10 Summary of the Literature Stream</w:t>
      </w:r>
    </w:p>
    <w:p>
      <w:pPr>
        <w:spacing w:after="160"/>
        <w:jc w:val="both"/>
      </w:pPr>
      <w:r>
        <w:rPr>
          <w:rFonts w:ascii="Calibri" w:cs="Calibri" w:eastAsia="Calibri" w:hAnsi="Calibri"/>
          <w:sz w:val="22"/>
          <w:szCs w:val="22"/>
        </w:rPr>
        <w:t xml:space="preserve">Across all sub-areas, the review consistently finds: mature and increasingly LLM-based extraction/summarization; mature contradiction/consistency checking (policy-vs-policy, policy-vs-traffic); an established but narrow functional-fidelity precedent confined to OS permissions; partially solved computational treatments of data minimization limited to specific domains; mature but explainability-poor scoring systems; an emerging explainable-AI-for-privacy literature; and a fast-growing KG/GraphRAG cluster applied to regulatory-text alignment rather than functional necessity. No system found integrates a functional-necessity comparison for privacy-policy-declared data with an explicit, multi-class policy-justification analysis and item-level explainability.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2026-08-27T06:50:52.295Z</dcterms:created>
  <dcterms:modified xsi:type="dcterms:W3CDTF">2026-08-27T06:50:52.307Z</dcterms:modified>
</cp:coreProperties>
</file>

<file path=docProps/custom.xml><?xml version="1.0" encoding="utf-8"?>
<Properties xmlns="http://schemas.openxmlformats.org/officeDocument/2006/custom-properties" xmlns:vt="http://schemas.openxmlformats.org/officeDocument/2006/docPropsVTypes"/>
</file>