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B46FA" w14:textId="77777777" w:rsidR="00E45152" w:rsidRPr="00E45152" w:rsidRDefault="00E45152" w:rsidP="00E451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-10"/>
          <w:sz w:val="36"/>
          <w:szCs w:val="36"/>
          <w:lang w:eastAsia="fr-FR"/>
        </w:rPr>
      </w:pPr>
      <w:r w:rsidRPr="00E45152">
        <w:rPr>
          <w:rFonts w:ascii="Helvetica" w:eastAsia="Times New Roman" w:hAnsi="Helvetica" w:cs="Helvetica"/>
          <w:b/>
          <w:bCs/>
          <w:color w:val="000000"/>
          <w:spacing w:val="-10"/>
          <w:sz w:val="36"/>
          <w:szCs w:val="36"/>
          <w:lang w:eastAsia="fr-FR"/>
        </w:rPr>
        <w:t xml:space="preserve">AWGN </w:t>
      </w:r>
      <w:proofErr w:type="spellStart"/>
      <w:r w:rsidRPr="00E45152">
        <w:rPr>
          <w:rFonts w:ascii="Helvetica" w:eastAsia="Times New Roman" w:hAnsi="Helvetica" w:cs="Helvetica"/>
          <w:b/>
          <w:bCs/>
          <w:color w:val="000000"/>
          <w:spacing w:val="-10"/>
          <w:sz w:val="36"/>
          <w:szCs w:val="36"/>
          <w:lang w:eastAsia="fr-FR"/>
        </w:rPr>
        <w:t>channel</w:t>
      </w:r>
      <w:proofErr w:type="spellEnd"/>
      <w:r w:rsidRPr="00E45152">
        <w:rPr>
          <w:rFonts w:ascii="Helvetica" w:eastAsia="Times New Roman" w:hAnsi="Helvetica" w:cs="Helvetica"/>
          <w:b/>
          <w:bCs/>
          <w:color w:val="000000"/>
          <w:spacing w:val="-10"/>
          <w:sz w:val="36"/>
          <w:szCs w:val="36"/>
          <w:lang w:eastAsia="fr-FR"/>
        </w:rPr>
        <w:t xml:space="preserve"> model</w:t>
      </w:r>
    </w:p>
    <w:p w14:paraId="13AED49E" w14:textId="77777777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In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order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to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simulate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specific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SNR point in performance simulations,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modulated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signal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from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transmitter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needs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to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be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added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with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random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noise of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specific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strength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.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strength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of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generated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noise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depends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on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desired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SNR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level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which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usually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is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an input in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such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simulations. In practice,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SNRs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are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specified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in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dB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.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Given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specific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SNR point for simulation,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let’s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see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how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can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simulate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an AWGN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channel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that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adds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correct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level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of white noise to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transmitted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symbols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.</w:t>
      </w:r>
    </w:p>
    <w:p w14:paraId="351F652D" w14:textId="45062DFA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noProof/>
          <w:color w:val="E22658"/>
          <w:sz w:val="32"/>
          <w:szCs w:val="32"/>
          <w:lang w:eastAsia="fr-FR"/>
        </w:rPr>
        <w:drawing>
          <wp:inline distT="0" distB="0" distL="0" distR="0" wp14:anchorId="4DE85D96" wp14:editId="597051FD">
            <wp:extent cx="4038600" cy="2257425"/>
            <wp:effectExtent l="0" t="0" r="0" b="9525"/>
            <wp:docPr id="5" name="Picture 5" descr="simulation model for additive white Gaussian noise (awgn) channel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ulation model for additive white Gaussian noise (awgn) channel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152">
        <w:rPr>
          <w:rFonts w:ascii="Garamond" w:eastAsia="Times New Roman" w:hAnsi="Garamond" w:cs="Times New Roman"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 xml:space="preserve">Figure </w:t>
      </w:r>
      <w:proofErr w:type="gramStart"/>
      <w:r w:rsidRPr="00E45152">
        <w:rPr>
          <w:rFonts w:ascii="Garamond" w:eastAsia="Times New Roman" w:hAnsi="Garamond" w:cs="Times New Roman"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1:</w:t>
      </w:r>
      <w:proofErr w:type="gramEnd"/>
      <w:r w:rsidRPr="00E45152">
        <w:rPr>
          <w:rFonts w:ascii="Garamond" w:eastAsia="Times New Roman" w:hAnsi="Garamond" w:cs="Times New Roman"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Simplified</w:t>
      </w:r>
      <w:proofErr w:type="spellEnd"/>
      <w:r w:rsidRPr="00E45152">
        <w:rPr>
          <w:rFonts w:ascii="Garamond" w:eastAsia="Times New Roman" w:hAnsi="Garamond" w:cs="Times New Roman"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 xml:space="preserve"> simulation model for </w:t>
      </w:r>
      <w:proofErr w:type="spellStart"/>
      <w:r w:rsidRPr="00E45152">
        <w:rPr>
          <w:rFonts w:ascii="Garamond" w:eastAsia="Times New Roman" w:hAnsi="Garamond" w:cs="Times New Roman"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awgn</w:t>
      </w:r>
      <w:proofErr w:type="spellEnd"/>
      <w:r w:rsidRPr="00E45152">
        <w:rPr>
          <w:rFonts w:ascii="Garamond" w:eastAsia="Times New Roman" w:hAnsi="Garamond" w:cs="Times New Roman"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channel</w:t>
      </w:r>
      <w:proofErr w:type="spellEnd"/>
    </w:p>
    <w:p w14:paraId="10793688" w14:textId="5BA1DFBF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Consider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AWGN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channel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model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given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in Figure 1.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Given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specific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SNR point to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simulate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,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wish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to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generate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 white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Gaussian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noise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vector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r w:rsidRPr="00E45152">
        <w:rPr>
          <w:rFonts w:ascii="Garamond" w:eastAsia="Times New Roman" w:hAnsi="Garamond" w:cs="Times New Roman"/>
          <w:noProof/>
          <w:color w:val="000000"/>
          <w:sz w:val="32"/>
          <w:szCs w:val="32"/>
          <w:lang w:eastAsia="fr-FR"/>
        </w:rPr>
        <w:drawing>
          <wp:inline distT="0" distB="0" distL="0" distR="0" wp14:anchorId="665B1563" wp14:editId="6F84FB19">
            <wp:extent cx="571500" cy="171450"/>
            <wp:effectExtent l="0" t="0" r="0" b="0"/>
            <wp:docPr id="4" name="Picture 4" descr="\mathcal{N}(0,{\sigma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cal{N}(0,{\sigma}^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 of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appropriate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strength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and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add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it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to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incoming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signal.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method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described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can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be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applied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for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both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waveform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simulations and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complex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baseband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simulations. In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following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text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,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term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SNR (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γ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)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refers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to </w:t>
      </w:r>
      <w:proofErr w:type="spellStart"/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γ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  <w:lang w:eastAsia="fr-FR"/>
        </w:rPr>
        <w:t>b</w:t>
      </w:r>
      <w:proofErr w:type="spellEnd"/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 xml:space="preserve"> = </w:t>
      </w:r>
      <w:proofErr w:type="spellStart"/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E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  <w:lang w:eastAsia="fr-FR"/>
        </w:rPr>
        <w:t>b</w:t>
      </w:r>
      <w:proofErr w:type="spellEnd"/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/N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  <w:lang w:eastAsia="fr-FR"/>
        </w:rPr>
        <w:t>0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when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modulation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is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of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binary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type (</w:t>
      </w:r>
      <w:proofErr w:type="spellStart"/>
      <w:proofErr w:type="gram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example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:</w:t>
      </w:r>
      <w:proofErr w:type="gram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BPSK). For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multilevel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modulations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such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as QPSK and MQAM,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term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SNR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refers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to </w:t>
      </w:r>
      <w:proofErr w:type="spellStart"/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γ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  <w:lang w:eastAsia="fr-FR"/>
        </w:rPr>
        <w:t>s</w:t>
      </w:r>
      <w:proofErr w:type="spellEnd"/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 = E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  <w:lang w:eastAsia="fr-FR"/>
        </w:rPr>
        <w:t>s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/N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vertAlign w:val="subscript"/>
          <w:lang w:eastAsia="fr-FR"/>
        </w:rPr>
        <w:t>0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.</w:t>
      </w:r>
    </w:p>
    <w:p w14:paraId="152DC850" w14:textId="77777777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b/>
          <w:bCs/>
          <w:color w:val="000000"/>
          <w:sz w:val="32"/>
          <w:szCs w:val="32"/>
          <w:lang w:eastAsia="fr-FR"/>
        </w:rPr>
        <w:t>(1) 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Assume,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s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is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vector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that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represents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transmitted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signal.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wish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to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generate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vector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r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that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represents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signal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after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passing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through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AWGN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channel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.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amount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of noise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added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by the AWGN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channel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is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controlled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by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given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SNR –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γ</w:t>
      </w:r>
    </w:p>
    <w:p w14:paraId="186A74CA" w14:textId="77777777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b/>
          <w:bCs/>
          <w:color w:val="000000"/>
          <w:sz w:val="32"/>
          <w:szCs w:val="32"/>
          <w:lang w:eastAsia="fr-FR"/>
        </w:rPr>
        <w:t>(2) 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For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fldChar w:fldCharType="begin"/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instrText xml:space="preserve"> HYPERLINK "https://www.gaussianwaves.com/2017/10/complex-baseband-equivalent-models/" </w:instrTex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fldChar w:fldCharType="separate"/>
      </w:r>
      <w:r w:rsidRPr="00E45152">
        <w:rPr>
          <w:rFonts w:ascii="Garamond" w:eastAsia="Times New Roman" w:hAnsi="Garamond" w:cs="Times New Roman"/>
          <w:color w:val="E22658"/>
          <w:sz w:val="32"/>
          <w:szCs w:val="32"/>
          <w:u w:val="single"/>
          <w:lang w:eastAsia="fr-FR"/>
        </w:rPr>
        <w:t>waveform</w:t>
      </w:r>
      <w:proofErr w:type="spellEnd"/>
      <w:r w:rsidRPr="00E45152">
        <w:rPr>
          <w:rFonts w:ascii="Garamond" w:eastAsia="Times New Roman" w:hAnsi="Garamond" w:cs="Times New Roman"/>
          <w:color w:val="E22658"/>
          <w:sz w:val="32"/>
          <w:szCs w:val="32"/>
          <w:u w:val="single"/>
          <w:lang w:eastAsia="fr-FR"/>
        </w:rPr>
        <w:t xml:space="preserve"> simulation model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fldChar w:fldCharType="end"/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, let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given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oversampling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ratio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is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denoted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as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L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. On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other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hand, if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you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are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using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fldChar w:fldCharType="begin"/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instrText xml:space="preserve"> HYPERLINK "https://www.gaussianwaves.com/2017/10/complex-baseband-equivalent-models/" </w:instrTex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fldChar w:fldCharType="separate"/>
      </w:r>
      <w:r w:rsidRPr="00E45152">
        <w:rPr>
          <w:rFonts w:ascii="Garamond" w:eastAsia="Times New Roman" w:hAnsi="Garamond" w:cs="Times New Roman"/>
          <w:color w:val="E22658"/>
          <w:sz w:val="32"/>
          <w:szCs w:val="32"/>
          <w:u w:val="single"/>
          <w:lang w:eastAsia="fr-FR"/>
        </w:rPr>
        <w:t>complex</w:t>
      </w:r>
      <w:proofErr w:type="spellEnd"/>
      <w:r w:rsidRPr="00E45152">
        <w:rPr>
          <w:rFonts w:ascii="Garamond" w:eastAsia="Times New Roman" w:hAnsi="Garamond" w:cs="Times New Roman"/>
          <w:color w:val="E22658"/>
          <w:sz w:val="32"/>
          <w:szCs w:val="32"/>
          <w:u w:val="single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E22658"/>
          <w:sz w:val="32"/>
          <w:szCs w:val="32"/>
          <w:u w:val="single"/>
          <w:lang w:eastAsia="fr-FR"/>
        </w:rPr>
        <w:t>baseband</w:t>
      </w:r>
      <w:proofErr w:type="spellEnd"/>
      <w:r w:rsidRPr="00E45152">
        <w:rPr>
          <w:rFonts w:ascii="Garamond" w:eastAsia="Times New Roman" w:hAnsi="Garamond" w:cs="Times New Roman"/>
          <w:color w:val="E22658"/>
          <w:sz w:val="32"/>
          <w:szCs w:val="32"/>
          <w:u w:val="single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E22658"/>
          <w:sz w:val="32"/>
          <w:szCs w:val="32"/>
          <w:u w:val="single"/>
          <w:lang w:eastAsia="fr-FR"/>
        </w:rPr>
        <w:t>models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fldChar w:fldCharType="end"/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, set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L=1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.</w:t>
      </w:r>
    </w:p>
    <w:p w14:paraId="470F270C" w14:textId="77777777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b/>
          <w:bCs/>
          <w:color w:val="000000"/>
          <w:sz w:val="32"/>
          <w:szCs w:val="32"/>
          <w:lang w:eastAsia="fr-FR"/>
        </w:rPr>
        <w:t>(3)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Let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N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denotes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length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of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vector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s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. The signal power for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vector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s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 can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be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measured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as,</w:t>
      </w:r>
    </w:p>
    <w:p w14:paraId="2B59E402" w14:textId="2A8E07CA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noProof/>
          <w:color w:val="000000"/>
          <w:sz w:val="32"/>
          <w:szCs w:val="32"/>
          <w:lang w:eastAsia="fr-FR"/>
        </w:rPr>
        <w:lastRenderedPageBreak/>
        <w:drawing>
          <wp:inline distT="0" distB="0" distL="0" distR="0" wp14:anchorId="4F506542" wp14:editId="7A65B2EC">
            <wp:extent cx="1866900" cy="695325"/>
            <wp:effectExtent l="0" t="0" r="0" b="9525"/>
            <wp:docPr id="3" name="Picture 3" descr="equation for computing power of a 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tion for computing power of a sig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E2BD" w14:textId="77777777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b/>
          <w:bCs/>
          <w:color w:val="000000"/>
          <w:sz w:val="32"/>
          <w:szCs w:val="32"/>
          <w:lang w:eastAsia="fr-FR"/>
        </w:rPr>
        <w:t>(4)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 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required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power spectral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density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of the noise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vector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n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is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computed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as</w:t>
      </w:r>
    </w:p>
    <w:p w14:paraId="61E34779" w14:textId="4814B6F6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noProof/>
          <w:color w:val="000000"/>
          <w:sz w:val="32"/>
          <w:szCs w:val="32"/>
          <w:lang w:eastAsia="fr-FR"/>
        </w:rPr>
        <w:drawing>
          <wp:inline distT="0" distB="0" distL="0" distR="0" wp14:anchorId="5A497D33" wp14:editId="3E4DC1E8">
            <wp:extent cx="3676650" cy="600075"/>
            <wp:effectExtent l="0" t="0" r="0" b="9525"/>
            <wp:docPr id="2" name="Picture 2" descr="equation for required noise power spectral density for awgn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quation for required noise power spectral density for awgn chann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CC7D" w14:textId="77777777" w:rsidR="00E45152" w:rsidRPr="00E45152" w:rsidRDefault="00E45152" w:rsidP="00E45152">
      <w:pPr>
        <w:shd w:val="clear" w:color="auto" w:fill="FFFFFF"/>
        <w:spacing w:after="30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b/>
          <w:bCs/>
          <w:color w:val="000000"/>
          <w:sz w:val="32"/>
          <w:szCs w:val="32"/>
          <w:lang w:eastAsia="fr-FR"/>
        </w:rPr>
        <w:t>(5)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Assuming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complex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IQ plane for all the digital modulations,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required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noise variance (noise power) for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generating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Gaussian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random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noise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is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given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by</w:t>
      </w:r>
    </w:p>
    <w:p w14:paraId="2F66C7F4" w14:textId="00B3860B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noProof/>
          <w:color w:val="000000"/>
          <w:sz w:val="32"/>
          <w:szCs w:val="32"/>
          <w:lang w:eastAsia="fr-FR"/>
        </w:rPr>
        <w:drawing>
          <wp:inline distT="0" distB="0" distL="0" distR="0" wp14:anchorId="505500C4" wp14:editId="14223E0F">
            <wp:extent cx="876300" cy="561975"/>
            <wp:effectExtent l="0" t="0" r="0" b="9525"/>
            <wp:docPr id="1" name="Picture 1" descr="equation for noise variance for awgn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quation for noise variance for awgn cha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AEBD" w14:textId="77777777" w:rsidR="00E45152" w:rsidRPr="00E45152" w:rsidRDefault="00E45152" w:rsidP="00E45152">
      <w:pPr>
        <w:shd w:val="clear" w:color="auto" w:fill="FFFFFF"/>
        <w:spacing w:after="30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b/>
          <w:bCs/>
          <w:color w:val="000000"/>
          <w:sz w:val="32"/>
          <w:szCs w:val="32"/>
          <w:lang w:eastAsia="fr-FR"/>
        </w:rPr>
        <w:t>(6)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Generate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noise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vector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drawn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from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normal distribution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with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mean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set to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zero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and the standard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deviation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computed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from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equation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given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above</w:t>
      </w:r>
      <w:proofErr w:type="spellEnd"/>
    </w:p>
    <w:p w14:paraId="196CC113" w14:textId="468F91FC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noProof/>
          <w:color w:val="000000"/>
          <w:sz w:val="32"/>
          <w:szCs w:val="32"/>
          <w:lang w:eastAsia="fr-FR"/>
        </w:rPr>
        <w:drawing>
          <wp:inline distT="0" distB="0" distL="0" distR="0" wp14:anchorId="25A2860B" wp14:editId="0B75F047">
            <wp:extent cx="5248275" cy="742950"/>
            <wp:effectExtent l="0" t="0" r="9525" b="0"/>
            <wp:docPr id="7" name="Picture 7" descr="equation for noise vector for real and complex additive white Gaussian noise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quation for noise vector for real and complex additive white Gaussian noise chann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A3D4" w14:textId="77777777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b/>
          <w:bCs/>
          <w:color w:val="000000"/>
          <w:sz w:val="32"/>
          <w:szCs w:val="32"/>
          <w:lang w:eastAsia="fr-FR"/>
        </w:rPr>
        <w:t>(7) 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Finally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add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the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generated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noise </w:t>
      </w:r>
      <w:proofErr w:type="spellStart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vector</w:t>
      </w:r>
      <w:proofErr w:type="spellEnd"/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 xml:space="preserve"> (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n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) to the signal (</w:t>
      </w:r>
      <w:r w:rsidRPr="00E45152">
        <w:rPr>
          <w:rFonts w:ascii="Garamond" w:eastAsia="Times New Roman" w:hAnsi="Garamond" w:cs="Times New Roman"/>
          <w:b/>
          <w:bCs/>
          <w:i/>
          <w:iCs/>
          <w:color w:val="000000"/>
          <w:sz w:val="32"/>
          <w:szCs w:val="32"/>
          <w:bdr w:val="none" w:sz="0" w:space="0" w:color="auto" w:frame="1"/>
          <w:lang w:eastAsia="fr-FR"/>
        </w:rPr>
        <w:t>s</w:t>
      </w:r>
      <w:r w:rsidRPr="00E45152"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  <w:t>)</w:t>
      </w:r>
    </w:p>
    <w:p w14:paraId="7D95097A" w14:textId="21EE9027" w:rsidR="00E45152" w:rsidRPr="00E45152" w:rsidRDefault="00E45152" w:rsidP="00E45152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32"/>
          <w:szCs w:val="32"/>
          <w:lang w:eastAsia="fr-FR"/>
        </w:rPr>
      </w:pPr>
      <w:r w:rsidRPr="00E45152">
        <w:rPr>
          <w:rFonts w:ascii="Garamond" w:eastAsia="Times New Roman" w:hAnsi="Garamond" w:cs="Times New Roman"/>
          <w:noProof/>
          <w:color w:val="000000"/>
          <w:sz w:val="32"/>
          <w:szCs w:val="32"/>
          <w:lang w:eastAsia="fr-FR"/>
        </w:rPr>
        <w:drawing>
          <wp:inline distT="0" distB="0" distL="0" distR="0" wp14:anchorId="66FD2B23" wp14:editId="4198E74F">
            <wp:extent cx="933450" cy="190500"/>
            <wp:effectExtent l="0" t="0" r="0" b="0"/>
            <wp:docPr id="6" name="Picture 6" descr="equation for awgn noise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quation for awgn noise chann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8B20" w14:textId="77777777" w:rsidR="00E45152" w:rsidRPr="00E45152" w:rsidRDefault="00E45152" w:rsidP="00E451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pacing w:val="-10"/>
          <w:sz w:val="36"/>
          <w:szCs w:val="36"/>
          <w:lang w:eastAsia="fr-FR"/>
        </w:rPr>
      </w:pPr>
      <w:r w:rsidRPr="00E45152">
        <w:rPr>
          <w:rFonts w:ascii="Helvetica" w:eastAsia="Times New Roman" w:hAnsi="Helvetica" w:cs="Helvetica"/>
          <w:b/>
          <w:bCs/>
          <w:color w:val="000000"/>
          <w:spacing w:val="-10"/>
          <w:sz w:val="36"/>
          <w:szCs w:val="36"/>
          <w:lang w:eastAsia="fr-FR"/>
        </w:rPr>
        <w:t>Matlab code</w:t>
      </w:r>
    </w:p>
    <w:p w14:paraId="57D93904" w14:textId="77777777" w:rsidR="00174C6F" w:rsidRDefault="00174C6F"/>
    <w:sectPr w:rsidR="00174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52"/>
    <w:rsid w:val="00174C6F"/>
    <w:rsid w:val="00E4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ABAA"/>
  <w15:chartTrackingRefBased/>
  <w15:docId w15:val="{05D21EB1-4525-4433-915B-0DD917FF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5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1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4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E45152"/>
    <w:rPr>
      <w:b/>
      <w:bCs/>
    </w:rPr>
  </w:style>
  <w:style w:type="character" w:styleId="Emphasis">
    <w:name w:val="Emphasis"/>
    <w:basedOn w:val="DefaultParagraphFont"/>
    <w:uiPriority w:val="20"/>
    <w:qFormat/>
    <w:rsid w:val="00E451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45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gaussianwaves.com/buy-book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1</cp:revision>
  <dcterms:created xsi:type="dcterms:W3CDTF">2020-12-09T21:51:00Z</dcterms:created>
  <dcterms:modified xsi:type="dcterms:W3CDTF">2020-12-09T21:52:00Z</dcterms:modified>
</cp:coreProperties>
</file>