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2146" w14:textId="5EA8AFC6" w:rsidR="00174C6F" w:rsidRDefault="000948AB">
      <w:pPr>
        <w:rPr>
          <w:b/>
          <w:bCs/>
          <w:sz w:val="28"/>
          <w:szCs w:val="28"/>
        </w:rPr>
      </w:pPr>
      <w:r w:rsidRPr="000948AB">
        <w:rPr>
          <w:b/>
          <w:bCs/>
          <w:sz w:val="28"/>
          <w:szCs w:val="28"/>
        </w:rPr>
        <w:t>Evaluation de l’impact de cette migration sur les acteurs de l’écosystème de la RNT</w:t>
      </w:r>
    </w:p>
    <w:p w14:paraId="086C268F" w14:textId="2BEDBAC7" w:rsidR="000948AB" w:rsidRDefault="00094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Acteurs de l’écosystème de la RNT</w:t>
      </w:r>
    </w:p>
    <w:p w14:paraId="47BDD91C" w14:textId="0A2E3A19" w:rsidR="0030403D" w:rsidRDefault="003040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Gouvernement</w:t>
      </w:r>
    </w:p>
    <w:p w14:paraId="5A233417" w14:textId="3F7A0926" w:rsidR="00D75D3D" w:rsidRP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L’Arcep</w:t>
      </w:r>
    </w:p>
    <w:p w14:paraId="55865BF2" w14:textId="20167020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Les cha</w:t>
      </w:r>
      <w:r>
        <w:rPr>
          <w:sz w:val="28"/>
          <w:szCs w:val="28"/>
        </w:rPr>
        <w:t>î</w:t>
      </w:r>
      <w:r w:rsidRPr="00D75D3D">
        <w:rPr>
          <w:sz w:val="28"/>
          <w:szCs w:val="28"/>
        </w:rPr>
        <w:t xml:space="preserve">nes </w:t>
      </w:r>
      <w:r>
        <w:rPr>
          <w:sz w:val="28"/>
          <w:szCs w:val="28"/>
        </w:rPr>
        <w:t>radio</w:t>
      </w:r>
    </w:p>
    <w:p w14:paraId="17D82CB5" w14:textId="1CC05FA2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Opérateurs de diffusion et de multiplex</w:t>
      </w:r>
    </w:p>
    <w:p w14:paraId="1B219947" w14:textId="0386FC6D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Fabricants et revendeurs des récepteurs RNT</w:t>
      </w:r>
    </w:p>
    <w:p w14:paraId="7BC8FAA3" w14:textId="0F7846ED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Utilisateur</w:t>
      </w:r>
    </w:p>
    <w:p w14:paraId="732DCEA5" w14:textId="3F5D7EC3" w:rsidR="002869FC" w:rsidRDefault="002869FC" w:rsidP="002869FC">
      <w:pPr>
        <w:pStyle w:val="ListParagraph"/>
        <w:rPr>
          <w:sz w:val="28"/>
          <w:szCs w:val="28"/>
        </w:rPr>
      </w:pPr>
    </w:p>
    <w:p w14:paraId="00D4CB32" w14:textId="5A31D6C4" w:rsidR="002869FC" w:rsidRPr="00E551CE" w:rsidRDefault="002869FC" w:rsidP="00E551CE">
      <w:pPr>
        <w:pStyle w:val="ListParagraph"/>
        <w:jc w:val="center"/>
        <w:rPr>
          <w:b/>
          <w:bCs/>
          <w:sz w:val="28"/>
          <w:szCs w:val="28"/>
        </w:rPr>
      </w:pPr>
      <w:r w:rsidRPr="00E551CE">
        <w:rPr>
          <w:b/>
          <w:bCs/>
          <w:sz w:val="28"/>
          <w:szCs w:val="28"/>
        </w:rPr>
        <w:t>Impact</w:t>
      </w:r>
    </w:p>
    <w:p w14:paraId="52B41CF2" w14:textId="77777777" w:rsidR="00E551CE" w:rsidRDefault="00E551CE" w:rsidP="002869FC">
      <w:pPr>
        <w:pStyle w:val="ListParagraph"/>
        <w:rPr>
          <w:sz w:val="28"/>
          <w:szCs w:val="28"/>
        </w:rPr>
      </w:pPr>
    </w:p>
    <w:p w14:paraId="09E5AF24" w14:textId="77777777" w:rsidR="006328A0" w:rsidRDefault="00AC57A3" w:rsidP="002869FC">
      <w:pPr>
        <w:pStyle w:val="ListParagraph"/>
        <w:rPr>
          <w:sz w:val="28"/>
          <w:szCs w:val="28"/>
        </w:rPr>
      </w:pPr>
      <w:r w:rsidRPr="006328A0">
        <w:rPr>
          <w:b/>
          <w:bCs/>
          <w:sz w:val="28"/>
          <w:szCs w:val="28"/>
        </w:rPr>
        <w:t>Gouvernement</w:t>
      </w:r>
      <w:r>
        <w:rPr>
          <w:sz w:val="28"/>
          <w:szCs w:val="28"/>
        </w:rPr>
        <w:t> </w:t>
      </w:r>
    </w:p>
    <w:p w14:paraId="4508F5C5" w14:textId="504533EB" w:rsidR="00AC57A3" w:rsidRDefault="00AC57A3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Développement de l’économie du numérique </w:t>
      </w:r>
    </w:p>
    <w:p w14:paraId="33942EE5" w14:textId="3C84E87E" w:rsidR="00E551CE" w:rsidRDefault="00E551CE" w:rsidP="00E55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Coût d’investissement</w:t>
      </w:r>
      <w:r w:rsidR="006A3EC2">
        <w:rPr>
          <w:sz w:val="28"/>
          <w:szCs w:val="28"/>
        </w:rPr>
        <w:t xml:space="preserve"> assez important</w:t>
      </w:r>
    </w:p>
    <w:p w14:paraId="56D7D0B2" w14:textId="77777777" w:rsidR="00E551CE" w:rsidRDefault="00E551CE" w:rsidP="00E55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Acquisition de nouveaux équipements</w:t>
      </w:r>
    </w:p>
    <w:p w14:paraId="08BA1479" w14:textId="77777777" w:rsidR="00E551CE" w:rsidRDefault="00E551CE" w:rsidP="00E55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6E1DC6" w14:textId="65B01EAD" w:rsidR="00E551CE" w:rsidRDefault="00E551CE" w:rsidP="00E551CE">
      <w:pPr>
        <w:pStyle w:val="ListParagraph"/>
        <w:rPr>
          <w:b/>
          <w:bCs/>
          <w:sz w:val="28"/>
          <w:szCs w:val="28"/>
        </w:rPr>
      </w:pPr>
      <w:r w:rsidRPr="00E551CE">
        <w:rPr>
          <w:b/>
          <w:bCs/>
          <w:sz w:val="28"/>
          <w:szCs w:val="28"/>
        </w:rPr>
        <w:t>Arcep</w:t>
      </w:r>
    </w:p>
    <w:p w14:paraId="3095BFF2" w14:textId="5B675F5B" w:rsidR="00E551CE" w:rsidRDefault="00E551CE" w:rsidP="00E551CE">
      <w:pPr>
        <w:pStyle w:val="ListParagraph"/>
        <w:rPr>
          <w:sz w:val="28"/>
          <w:szCs w:val="28"/>
        </w:rPr>
      </w:pPr>
      <w:r w:rsidRPr="00E551CE">
        <w:rPr>
          <w:sz w:val="28"/>
          <w:szCs w:val="28"/>
        </w:rPr>
        <w:t>Libération des fréquences dédiées à la FM</w:t>
      </w:r>
      <w:r>
        <w:rPr>
          <w:sz w:val="28"/>
          <w:szCs w:val="28"/>
        </w:rPr>
        <w:t xml:space="preserve"> pour de nouveaux services</w:t>
      </w:r>
    </w:p>
    <w:p w14:paraId="27C1FB2E" w14:textId="25E3D99A" w:rsidR="006A3EC2" w:rsidRPr="00E551CE" w:rsidRDefault="006A3EC2" w:rsidP="00E551C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Valorisation du dividende </w:t>
      </w:r>
      <w:proofErr w:type="spellStart"/>
      <w:r>
        <w:rPr>
          <w:sz w:val="28"/>
          <w:szCs w:val="28"/>
        </w:rPr>
        <w:t>numerique</w:t>
      </w:r>
      <w:proofErr w:type="spellEnd"/>
    </w:p>
    <w:p w14:paraId="7D39F5B5" w14:textId="77777777" w:rsidR="00E551CE" w:rsidRPr="00E551CE" w:rsidRDefault="00E551CE" w:rsidP="002869FC">
      <w:pPr>
        <w:pStyle w:val="ListParagraph"/>
        <w:rPr>
          <w:b/>
          <w:bCs/>
          <w:sz w:val="28"/>
          <w:szCs w:val="28"/>
        </w:rPr>
      </w:pPr>
    </w:p>
    <w:p w14:paraId="5DC99B5E" w14:textId="77777777" w:rsidR="00AC57A3" w:rsidRDefault="00AC57A3" w:rsidP="002869FC">
      <w:pPr>
        <w:pStyle w:val="ListParagraph"/>
        <w:rPr>
          <w:sz w:val="28"/>
          <w:szCs w:val="28"/>
        </w:rPr>
      </w:pPr>
    </w:p>
    <w:p w14:paraId="25D0C8BF" w14:textId="461FEE45" w:rsidR="002869FC" w:rsidRPr="00E551CE" w:rsidRDefault="002869FC" w:rsidP="002869FC">
      <w:pPr>
        <w:pStyle w:val="ListParagraph"/>
        <w:rPr>
          <w:b/>
          <w:bCs/>
          <w:sz w:val="28"/>
          <w:szCs w:val="28"/>
        </w:rPr>
      </w:pPr>
      <w:r w:rsidRPr="00E551CE">
        <w:rPr>
          <w:b/>
          <w:bCs/>
          <w:sz w:val="28"/>
          <w:szCs w:val="28"/>
        </w:rPr>
        <w:t>Utilisateurs</w:t>
      </w:r>
    </w:p>
    <w:p w14:paraId="5204A1E2" w14:textId="76CE8DFA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 transition vers la RNT nécessite que le public dispose de récepteurs numériques</w:t>
      </w:r>
      <w:r w:rsidR="00AC57A3">
        <w:rPr>
          <w:sz w:val="28"/>
          <w:szCs w:val="28"/>
        </w:rPr>
        <w:t>.</w:t>
      </w:r>
    </w:p>
    <w:p w14:paraId="5E1FB74E" w14:textId="3ACE948E" w:rsidR="00BB1F83" w:rsidRDefault="00AC57A3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Achat d’un nouveau poste récepteur adaptée </w:t>
      </w:r>
      <w:r w:rsidR="00E551CE">
        <w:rPr>
          <w:sz w:val="28"/>
          <w:szCs w:val="28"/>
        </w:rPr>
        <w:t>à</w:t>
      </w:r>
      <w:r>
        <w:rPr>
          <w:sz w:val="28"/>
          <w:szCs w:val="28"/>
        </w:rPr>
        <w:t xml:space="preserve"> la norme</w:t>
      </w:r>
      <w:r w:rsidR="00BB1F83">
        <w:rPr>
          <w:sz w:val="28"/>
          <w:szCs w:val="28"/>
        </w:rPr>
        <w:t>.</w:t>
      </w:r>
    </w:p>
    <w:p w14:paraId="6D299951" w14:textId="49FEB384" w:rsidR="00AC57A3" w:rsidRDefault="00BB1F83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Un r</w:t>
      </w:r>
      <w:r w:rsidR="00E551CE">
        <w:rPr>
          <w:sz w:val="28"/>
          <w:szCs w:val="28"/>
        </w:rPr>
        <w:t>é</w:t>
      </w:r>
      <w:r>
        <w:rPr>
          <w:sz w:val="28"/>
          <w:szCs w:val="28"/>
        </w:rPr>
        <w:t>c</w:t>
      </w:r>
      <w:r w:rsidR="00E551CE">
        <w:rPr>
          <w:sz w:val="28"/>
          <w:szCs w:val="28"/>
        </w:rPr>
        <w:t>e</w:t>
      </w:r>
      <w:r>
        <w:rPr>
          <w:sz w:val="28"/>
          <w:szCs w:val="28"/>
        </w:rPr>
        <w:t xml:space="preserve">pteur DAB+ couterait </w:t>
      </w:r>
      <w:r w:rsidR="00E551CE">
        <w:rPr>
          <w:sz w:val="28"/>
          <w:szCs w:val="28"/>
        </w:rPr>
        <w:t>deux fois plus cher qu’un récepteur classique FM.</w:t>
      </w:r>
    </w:p>
    <w:p w14:paraId="4B39AE69" w14:textId="2A62C651" w:rsidR="00E551CE" w:rsidRDefault="00E551CE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Meilleure qualité de l’écoute.</w:t>
      </w:r>
    </w:p>
    <w:p w14:paraId="12ED6B77" w14:textId="39405D11" w:rsidR="0030403D" w:rsidRDefault="0030403D" w:rsidP="002869FC">
      <w:pPr>
        <w:pStyle w:val="ListParagraph"/>
        <w:rPr>
          <w:sz w:val="28"/>
          <w:szCs w:val="28"/>
        </w:rPr>
      </w:pPr>
    </w:p>
    <w:p w14:paraId="046CC9BF" w14:textId="77777777" w:rsidR="00837D78" w:rsidRPr="00E551CE" w:rsidRDefault="00837D78" w:rsidP="00837D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551CE">
        <w:rPr>
          <w:b/>
          <w:bCs/>
          <w:sz w:val="28"/>
          <w:szCs w:val="28"/>
        </w:rPr>
        <w:t>Fabricants et revendeurs des récepteurs RNT</w:t>
      </w:r>
    </w:p>
    <w:p w14:paraId="6DEBA6D9" w14:textId="69C674C8" w:rsidR="00837D78" w:rsidRDefault="00837D78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Prévoir les équipements RNT, informer et aiguiller au mieux les consommateurs</w:t>
      </w:r>
    </w:p>
    <w:p w14:paraId="7D7B064D" w14:textId="73ADBC85" w:rsidR="004C3304" w:rsidRDefault="004C3304" w:rsidP="002869FC">
      <w:pPr>
        <w:pStyle w:val="ListParagraph"/>
        <w:rPr>
          <w:sz w:val="28"/>
          <w:szCs w:val="28"/>
        </w:rPr>
      </w:pPr>
    </w:p>
    <w:p w14:paraId="30BD3ED0" w14:textId="77777777" w:rsidR="004C3304" w:rsidRPr="004C3304" w:rsidRDefault="004C3304" w:rsidP="004C33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3304">
        <w:rPr>
          <w:b/>
          <w:bCs/>
          <w:sz w:val="28"/>
          <w:szCs w:val="28"/>
        </w:rPr>
        <w:t>Opérateurs de diffusion et de multiplex</w:t>
      </w:r>
    </w:p>
    <w:p w14:paraId="6B262097" w14:textId="67CBA765" w:rsidR="004C3304" w:rsidRPr="00D75D3D" w:rsidRDefault="004C3304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Reduction des couts de production, de transmission et de diffusion</w:t>
      </w:r>
    </w:p>
    <w:sectPr w:rsidR="004C3304" w:rsidRPr="00D7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77435"/>
    <w:multiLevelType w:val="hybridMultilevel"/>
    <w:tmpl w:val="B9C8B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B"/>
    <w:rsid w:val="000948AB"/>
    <w:rsid w:val="000F1625"/>
    <w:rsid w:val="00174C6F"/>
    <w:rsid w:val="002869FC"/>
    <w:rsid w:val="0030403D"/>
    <w:rsid w:val="004C3304"/>
    <w:rsid w:val="006328A0"/>
    <w:rsid w:val="006A3EC2"/>
    <w:rsid w:val="00837D78"/>
    <w:rsid w:val="00943F0E"/>
    <w:rsid w:val="00AC57A3"/>
    <w:rsid w:val="00BB1F83"/>
    <w:rsid w:val="00D75D3D"/>
    <w:rsid w:val="00E551CE"/>
    <w:rsid w:val="00F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8FC4"/>
  <w15:chartTrackingRefBased/>
  <w15:docId w15:val="{7C8D9B1F-FACE-4EF4-AC9A-4E8AEF1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6</cp:revision>
  <dcterms:created xsi:type="dcterms:W3CDTF">2020-10-08T16:14:00Z</dcterms:created>
  <dcterms:modified xsi:type="dcterms:W3CDTF">2020-12-04T20:12:00Z</dcterms:modified>
</cp:coreProperties>
</file>