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before="0"/>
        <w:jc w:val="both"/>
      </w:pPr>
      <w:r>
        <w:rPr>
          <w:rFonts w:ascii="Times New Roman" w:cs="Times New Roman" w:eastAsia="Times New Roman" w:hAnsi="Times New Roman"/>
          <w:b w:val="false"/>
          <w:bCs w:val="false"/>
          <w:i w:val="false"/>
          <w:iCs w:val="false"/>
          <w:caps w:val="false"/>
          <w:color w:val="000000"/>
          <w:sz w:val="20"/>
          <w:szCs w:val="20"/>
        </w:rPr>
        <w:t xml:space="preserve"/>
      </w:r>
    </w:p>
    <w:p>
      <w:pPr>
        <w:spacing w:after="140" w:before="0"/>
        <w:jc w:val="center"/>
      </w:pPr>
      <w:r>
        <w:rPr>
          <w:rFonts w:ascii="Times New Roman" w:cs="Times New Roman" w:eastAsia="Times New Roman" w:hAnsi="Times New Roman"/>
          <w:b/>
          <w:bCs/>
          <w:i w:val="false"/>
          <w:iCs w:val="false"/>
          <w:caps w:val="false"/>
          <w:color w:val="000000"/>
          <w:sz w:val="28"/>
          <w:szCs w:val="28"/>
        </w:rPr>
        <w:t xml:space="preserve">YUVA-AI: A Multi-Agent Artificial Intelligence Framework for</w:t>
      </w:r>
      <w:r>
        <w:rPr>
          <w:rFonts w:ascii="Times New Roman" w:cs="Times New Roman" w:eastAsia="Times New Roman" w:hAnsi="Times New Roman"/>
          <w:sz w:val="20"/>
          <w:szCs w:val="20"/>
        </w:rPr>
        <w:br/>
      </w:r>
      <w:r>
        <w:rPr>
          <w:rFonts w:ascii="Times New Roman" w:cs="Times New Roman" w:eastAsia="Times New Roman" w:hAnsi="Times New Roman"/>
          <w:b/>
          <w:bCs/>
          <w:i w:val="false"/>
          <w:iCs w:val="false"/>
          <w:caps w:val="false"/>
          <w:color w:val="000000"/>
          <w:sz w:val="28"/>
          <w:szCs w:val="28"/>
        </w:rPr>
        <w:t xml:space="preserve">Youth Career Development and Civic Engagement in Emerging Economies</w:t>
      </w:r>
    </w:p>
    <w:p>
      <w:pPr>
        <w:spacing w:after="40" w:before="0"/>
        <w:jc w:val="center"/>
      </w:pPr>
      <w:r>
        <w:rPr>
          <w:rFonts w:ascii="Times New Roman" w:cs="Times New Roman" w:eastAsia="Times New Roman" w:hAnsi="Times New Roman"/>
          <w:b w:val="false"/>
          <w:bCs w:val="false"/>
          <w:i/>
          <w:iCs/>
          <w:caps w:val="false"/>
          <w:color w:val="000000"/>
          <w:sz w:val="20"/>
          <w:szCs w:val="20"/>
        </w:rPr>
        <w:t xml:space="preserve">[Author Name] — [Institution], India</w:t>
      </w:r>
    </w:p>
    <w:p>
      <w:pPr>
        <w:spacing w:after="200" w:before="0"/>
        <w:jc w:val="center"/>
      </w:pPr>
      <w:r>
        <w:rPr>
          <w:rFonts w:ascii="Times New Roman" w:cs="Times New Roman" w:eastAsia="Times New Roman" w:hAnsi="Times New Roman"/>
          <w:b w:val="false"/>
          <w:bCs w:val="false"/>
          <w:i/>
          <w:iCs/>
          <w:caps w:val="false"/>
          <w:color w:val="555555"/>
          <w:sz w:val="18"/>
          <w:szCs w:val="18"/>
        </w:rPr>
        <w:t xml:space="preserve">[author@email.com]</w:t>
      </w:r>
    </w:p>
    <w:p>
      <w:pPr>
        <w:pBdr>
          <w:bottom w:val="single" w:color="1E3A5F" w:sz="6" w:space="1"/>
        </w:pBdr>
        <w:spacing w:after="200" w:before="0"/>
      </w:pPr>
      <w:r>
        <w:rPr>
          <w:rFonts w:ascii="Times New Roman" w:cs="Times New Roman" w:eastAsia="Times New Roman" w:hAnsi="Times New Roman"/>
          <w:b w:val="false"/>
          <w:bCs w:val="false"/>
          <w:i w:val="false"/>
          <w:iCs w:val="false"/>
          <w:caps w:val="false"/>
          <w:color w:val="000000"/>
          <w:sz w:val="20"/>
          <w:szCs w:val="20"/>
        </w:rPr>
        <w:t xml:space="preserve"/>
      </w:r>
    </w:p>
    <w:p>
      <w:pPr>
        <w:spacing w:after="100" w:before="0"/>
        <w:jc w:val="both"/>
      </w:pPr>
      <w:r>
        <w:rPr>
          <w:rFonts w:ascii="Times New Roman" w:cs="Times New Roman" w:eastAsia="Times New Roman" w:hAnsi="Times New Roman"/>
          <w:b/>
          <w:bCs/>
          <w:i/>
          <w:iCs/>
          <w:caps w:val="false"/>
          <w:color w:val="000000"/>
          <w:sz w:val="19"/>
          <w:szCs w:val="19"/>
        </w:rPr>
        <w:t xml:space="preserve">Abstract</w:t>
      </w:r>
      <w:r>
        <w:rPr>
          <w:rFonts w:ascii="Times New Roman" w:cs="Times New Roman" w:eastAsia="Times New Roman" w:hAnsi="Times New Roman"/>
          <w:b w:val="false"/>
          <w:bCs w:val="false"/>
          <w:i/>
          <w:iCs/>
          <w:caps w:val="false"/>
          <w:color w:val="000000"/>
          <w:sz w:val="19"/>
          <w:szCs w:val="19"/>
        </w:rPr>
        <w:t xml:space="preserve"> — </w:t>
      </w:r>
      <w:r>
        <w:rPr>
          <w:rFonts w:ascii="Times New Roman" w:cs="Times New Roman" w:eastAsia="Times New Roman" w:hAnsi="Times New Roman"/>
          <w:b w:val="false"/>
          <w:bCs w:val="false"/>
          <w:i/>
          <w:iCs/>
          <w:caps w:val="false"/>
          <w:color w:val="000000"/>
          <w:sz w:val="19"/>
          <w:szCs w:val="19"/>
        </w:rPr>
        <w:t xml:space="preserve">Youth in developing nations face a compounding set of challenges: career ambiguity stemming from rapidly evolving labour markets and insufficient personalised guidance, alongside systemic civic disengagement rooted in opaque grievance-redressal mechanisms and limited digital participation channels. Existing AI-based solutions address these problems in isolation, leaving a significant gap in unified, intelligent platforms designed for youth empowerment. This paper introduces YUVA-AI (Youth Unified Virtual Agent for Advancement and Integration in AI), a novel multi-agent artificial intelligence framework that simultaneously addresses career development and civic engagement through a coordinated ensemble of eight specialised agents. The framework integrates a User Profile Agent, Career Guidance Agent, Skill Gap Agent, Opportunity Agent, Civic Issue Agent, Department Routing Agent, Issue Tracking Agent, and an Analytics Agent, all coordinated through a central Orchestration Layer. YUVA-AI employs a hybrid recommendation strategy combining transformer-based skill embeddings with collaborative filtering for career matching, an ontology-driven competency graph for skill gap analysis, and a fine-tuned multilingual BERT-based classifier for grievance categorisation and automated departmental routing. We present the complete system architecture, agent communication protocols, algorithmic pseudocode, and a rigorous evaluation framework designed around NDCG@10, Precision@k, routing accuracy, and System Usability Scale (SUS) metrics. YUVA-AI is contextually grounded in India's digital infrastructure—CPGRAMS, NCS Portal, SWAYAM, and Skill India—while remaining applicable to broader emerging economies.</w:t>
      </w:r>
    </w:p>
    <w:p>
      <w:pPr>
        <w:spacing w:after="240" w:before="0"/>
        <w:jc w:val="both"/>
      </w:pPr>
      <w:r>
        <w:rPr>
          <w:rFonts w:ascii="Times New Roman" w:cs="Times New Roman" w:eastAsia="Times New Roman" w:hAnsi="Times New Roman"/>
          <w:b/>
          <w:bCs/>
          <w:i w:val="false"/>
          <w:iCs w:val="false"/>
          <w:caps w:val="false"/>
          <w:color w:val="000000"/>
          <w:sz w:val="19"/>
          <w:szCs w:val="19"/>
        </w:rPr>
        <w:t xml:space="preserve">Keywords</w:t>
      </w:r>
      <w:r>
        <w:rPr>
          <w:rFonts w:ascii="Times New Roman" w:cs="Times New Roman" w:eastAsia="Times New Roman" w:hAnsi="Times New Roman"/>
          <w:b w:val="false"/>
          <w:bCs w:val="false"/>
          <w:i w:val="false"/>
          <w:iCs w:val="false"/>
          <w:caps w:val="false"/>
          <w:color w:val="000000"/>
          <w:sz w:val="19"/>
          <w:szCs w:val="19"/>
        </w:rPr>
        <w:t xml:space="preserve"> — multi-agent systems; career recommendation; skill gap analysis; civic engagement; e-governance; grievance routing; youth empowerment; agentic AI; emerging economies</w:t>
      </w:r>
    </w:p>
    <w:p>
      <w:pPr>
        <w:pBdr>
          <w:bottom w:val="single" w:color="1E3A5F" w:sz="6" w:space="1"/>
        </w:pBdr>
        <w:spacing w:after="200" w:before="0"/>
      </w:pPr>
      <w:r>
        <w:rPr>
          <w:rFonts w:ascii="Times New Roman" w:cs="Times New Roman" w:eastAsia="Times New Roman" w:hAnsi="Times New Roman"/>
          <w:b w:val="false"/>
          <w:bCs w:val="false"/>
          <w:i w:val="false"/>
          <w:iCs w:val="false"/>
          <w:caps w:val="false"/>
          <w:color w:val="000000"/>
          <w:sz w:val="20"/>
          <w:szCs w:val="20"/>
        </w:rPr>
        <w:t xml:space="preserve"/>
      </w:r>
    </w:p>
    <w:p>
      <w:pPr>
        <w:spacing w:after="120" w:before="280"/>
        <w:jc w:val="both"/>
      </w:pPr>
      <w:r>
        <w:rPr>
          <w:rFonts w:ascii="Times New Roman" w:cs="Times New Roman" w:eastAsia="Times New Roman" w:hAnsi="Times New Roman"/>
          <w:b/>
          <w:bCs/>
          <w:i w:val="false"/>
          <w:iCs w:val="false"/>
          <w:caps w:val="false"/>
          <w:color w:val="000000"/>
          <w:sz w:val="22"/>
          <w:szCs w:val="22"/>
        </w:rPr>
        <w:t xml:space="preserve">I. INTRODUCTION</w:t>
      </w:r>
    </w:p>
    <w:p>
      <w:pPr>
        <w:spacing w:after="120" w:before="0"/>
        <w:jc w:val="both"/>
      </w:pPr>
      <w:r>
        <w:rPr>
          <w:rFonts w:ascii="Times New Roman" w:cs="Times New Roman" w:eastAsia="Times New Roman" w:hAnsi="Times New Roman"/>
          <w:b w:val="false"/>
          <w:bCs w:val="false"/>
          <w:i w:val="false"/>
          <w:iCs w:val="false"/>
          <w:caps w:val="false"/>
          <w:color w:val="000000"/>
          <w:sz w:val="20"/>
          <w:szCs w:val="20"/>
        </w:rPr>
        <w:t xml:space="preserve">India's demographic dividend presents both an extraordinary opportunity and a formidable challenge. With over 600 million citizens below the age of 25 [1], this population constitutes the world's largest youth cohort. Yet this cohort confronts a structural crisis on two fronts: career confusion exacerbated by a rapidly digitising economy and inadequate personalised career guidance infrastructure; and civic disengagement driven by opaque government processes and persistently low institutional trust.</w:t>
      </w:r>
    </w:p>
    <w:p>
      <w:pPr>
        <w:spacing w:after="120" w:before="0"/>
        <w:jc w:val="both"/>
      </w:pPr>
      <w:r>
        <w:rPr>
          <w:rFonts w:ascii="Times New Roman" w:cs="Times New Roman" w:eastAsia="Times New Roman" w:hAnsi="Times New Roman"/>
          <w:b w:val="false"/>
          <w:bCs w:val="false"/>
          <w:i w:val="false"/>
          <w:iCs w:val="false"/>
          <w:caps w:val="false"/>
          <w:color w:val="000000"/>
          <w:sz w:val="20"/>
          <w:szCs w:val="20"/>
        </w:rPr>
        <w:t xml:space="preserve">On the career front, India's National Skill Development Corporation (NSDC) reports that fewer than 5% of the Indian workforce has undergone formal skill training, compared to 96% in South Korea and 75% in Germany [2]. Traditional career counselling is expensive, geographically restricted to urban centres, and incapable of processing the scale and personalisation that AI systems can provide. The emergence of Large Language Models (LLMs) and agentic AI has created new possibilities, yet existing implementations—isolated chatbots, simple recommendation engines, or standalone skill platforms—treat career development as a static, one-dimensional problem. They fail to account for evolving industry trends, regional labour market variations, or the multidimensional nature of a student's profile.</w:t>
      </w:r>
    </w:p>
    <w:p>
      <w:pPr>
        <w:spacing w:after="120" w:before="0"/>
        <w:jc w:val="both"/>
      </w:pPr>
      <w:r>
        <w:rPr>
          <w:rFonts w:ascii="Times New Roman" w:cs="Times New Roman" w:eastAsia="Times New Roman" w:hAnsi="Times New Roman"/>
          <w:b w:val="false"/>
          <w:bCs w:val="false"/>
          <w:i w:val="false"/>
          <w:iCs w:val="false"/>
          <w:caps w:val="false"/>
          <w:color w:val="000000"/>
          <w:sz w:val="20"/>
          <w:szCs w:val="20"/>
        </w:rPr>
        <w:t xml:space="preserve">On the civic front, India's Centralised Public Grievance Redress and Monitoring System (CPGRAMS) suffers from persistent challenges: high complaint-abandonment rates, slow departmental routing, poor resolution transparency, and near-zero feedback loops to citizens [3]. Youth, despite being the most digitally connected demographic, remain the least engaged with these systems. Research consistently identifies low perceived efficacy—the belief that complaints will not produce results—as the primary driver of disengagement [4].</w:t>
      </w:r>
    </w:p>
    <w:p>
      <w:pPr>
        <w:spacing w:after="120" w:before="0"/>
        <w:jc w:val="both"/>
      </w:pPr>
      <w:r>
        <w:rPr>
          <w:rFonts w:ascii="Times New Roman" w:cs="Times New Roman" w:eastAsia="Times New Roman" w:hAnsi="Times New Roman"/>
          <w:b w:val="false"/>
          <w:bCs w:val="false"/>
          <w:i w:val="false"/>
          <w:iCs w:val="false"/>
          <w:caps w:val="false"/>
          <w:color w:val="000000"/>
          <w:sz w:val="20"/>
          <w:szCs w:val="20"/>
        </w:rPr>
        <w:t xml:space="preserve">The convergence of these two problem domains within a unified AI platform is not merely an engineering convenience—it is theoretically motivated. The same young individual who requires career guidance is also a community stakeholder who experiences local infrastructure failures, educational system gaps, and public service deficiencies. A platform that serves both needs simultaneously builds sustained engagement, constructs a holistic digital identity for the user, and generates cross-domain data that enables richer, more contextual AI recommendations.</w:t>
      </w:r>
    </w:p>
    <w:p>
      <w:pPr>
        <w:spacing w:after="120" w:before="0"/>
        <w:jc w:val="both"/>
      </w:pPr>
      <w:r>
        <w:rPr>
          <w:rFonts w:ascii="Times New Roman" w:cs="Times New Roman" w:eastAsia="Times New Roman" w:hAnsi="Times New Roman"/>
          <w:b w:val="false"/>
          <w:bCs w:val="false"/>
          <w:i w:val="false"/>
          <w:iCs w:val="false"/>
          <w:caps w:val="false"/>
          <w:color w:val="000000"/>
          <w:sz w:val="20"/>
          <w:szCs w:val="20"/>
        </w:rPr>
        <w:t xml:space="preserve">This paper proposes YUVA-AI, a multi-agent AI framework that bridges this gap. The principal contributions of this work are:</w:t>
      </w:r>
    </w:p>
    <w:p>
      <w:pPr>
        <w:spacing w:after="120" w:before="0"/>
        <w:ind w:left="360"/>
        <w:jc w:val="both"/>
      </w:pPr>
      <w:r>
        <w:rPr>
          <w:rFonts w:ascii="Times New Roman" w:cs="Times New Roman" w:eastAsia="Times New Roman" w:hAnsi="Times New Roman"/>
          <w:b w:val="false"/>
          <w:bCs w:val="false"/>
          <w:i w:val="false"/>
          <w:iCs w:val="false"/>
          <w:caps w:val="false"/>
          <w:color w:val="000000"/>
          <w:sz w:val="20"/>
          <w:szCs w:val="20"/>
        </w:rPr>
        <w:t xml:space="preserve">(1) The first unified multi-agent framework combining career development and civic engagement within a single, coherent AI ecosystem purpose-built for youth in emerging economies.</w:t>
      </w:r>
    </w:p>
    <w:p>
      <w:pPr>
        <w:spacing w:after="120" w:before="0"/>
        <w:ind w:left="360"/>
        <w:jc w:val="both"/>
      </w:pPr>
      <w:r>
        <w:rPr>
          <w:rFonts w:ascii="Times New Roman" w:cs="Times New Roman" w:eastAsia="Times New Roman" w:hAnsi="Times New Roman"/>
          <w:b w:val="false"/>
          <w:bCs w:val="false"/>
          <w:i w:val="false"/>
          <w:iCs w:val="false"/>
          <w:caps w:val="false"/>
          <w:color w:val="000000"/>
          <w:sz w:val="20"/>
          <w:szCs w:val="20"/>
        </w:rPr>
        <w:t xml:space="preserve">(2) An eight-agent modular architecture with a dedicated Orchestration Layer that manages inter-agent communication, context persistence, and goal-directed task delegation.</w:t>
      </w:r>
    </w:p>
    <w:p>
      <w:pPr>
        <w:spacing w:after="120" w:before="0"/>
        <w:ind w:left="360"/>
        <w:jc w:val="both"/>
      </w:pPr>
      <w:r>
        <w:rPr>
          <w:rFonts w:ascii="Times New Roman" w:cs="Times New Roman" w:eastAsia="Times New Roman" w:hAnsi="Times New Roman"/>
          <w:b w:val="false"/>
          <w:bCs w:val="false"/>
          <w:i w:val="false"/>
          <w:iCs w:val="false"/>
          <w:caps w:val="false"/>
          <w:color w:val="000000"/>
          <w:sz w:val="20"/>
          <w:szCs w:val="20"/>
        </w:rPr>
        <w:t xml:space="preserve">(3) A hybrid career recommendation algorithm integrating transformer-based skill embeddings with a user-career collaborative filtering matrix, evaluated on NDCG@10 and Precision@5.</w:t>
      </w:r>
    </w:p>
    <w:p>
      <w:pPr>
        <w:spacing w:after="120" w:before="0"/>
        <w:ind w:left="360"/>
        <w:jc w:val="both"/>
      </w:pPr>
      <w:r>
        <w:rPr>
          <w:rFonts w:ascii="Times New Roman" w:cs="Times New Roman" w:eastAsia="Times New Roman" w:hAnsi="Times New Roman"/>
          <w:b w:val="false"/>
          <w:bCs w:val="false"/>
          <w:i w:val="false"/>
          <w:iCs w:val="false"/>
          <w:caps w:val="false"/>
          <w:color w:val="000000"/>
          <w:sz w:val="20"/>
          <w:szCs w:val="20"/>
        </w:rPr>
        <w:t xml:space="preserve">(4) An ontology-driven Skill Gap Analysis mechanism that maps user competency profiles against role-specific competency graphs derived from O*NET and NSDC Qualifications Pack (QP) frameworks.</w:t>
      </w:r>
    </w:p>
    <w:p>
      <w:pPr>
        <w:spacing w:after="120" w:before="0"/>
        <w:ind w:left="360"/>
        <w:jc w:val="both"/>
      </w:pPr>
      <w:r>
        <w:rPr>
          <w:rFonts w:ascii="Times New Roman" w:cs="Times New Roman" w:eastAsia="Times New Roman" w:hAnsi="Times New Roman"/>
          <w:b w:val="false"/>
          <w:bCs w:val="false"/>
          <w:i w:val="false"/>
          <w:iCs w:val="false"/>
          <w:caps w:val="false"/>
          <w:color w:val="000000"/>
          <w:sz w:val="20"/>
          <w:szCs w:val="20"/>
        </w:rPr>
        <w:t xml:space="preserve">(5) A fine-tuned multilingual NLP pipeline for grievance classification and automated departmental routing, designed around India's administrative hierarchy and CPGRAMS taxonomy.</w:t>
      </w:r>
    </w:p>
    <w:p>
      <w:pPr>
        <w:spacing w:after="120" w:before="0"/>
        <w:ind w:left="360"/>
        <w:jc w:val="both"/>
      </w:pPr>
      <w:r>
        <w:rPr>
          <w:rFonts w:ascii="Times New Roman" w:cs="Times New Roman" w:eastAsia="Times New Roman" w:hAnsi="Times New Roman"/>
          <w:b w:val="false"/>
          <w:bCs w:val="false"/>
          <w:i w:val="false"/>
          <w:iCs w:val="false"/>
          <w:caps w:val="false"/>
          <w:color w:val="000000"/>
          <w:sz w:val="20"/>
          <w:szCs w:val="20"/>
        </w:rPr>
        <w:t xml:space="preserve">(6) A multi-dimensional evaluation framework addressing both recommendation quality and routing accuracy under realistic operational conditions, together with a planned user study protocol.</w:t>
      </w:r>
    </w:p>
    <w:p>
      <w:pPr>
        <w:spacing w:after="120" w:before="0"/>
        <w:jc w:val="both"/>
      </w:pPr>
      <w:r>
        <w:rPr>
          <w:rFonts w:ascii="Times New Roman" w:cs="Times New Roman" w:eastAsia="Times New Roman" w:hAnsi="Times New Roman"/>
          <w:b w:val="false"/>
          <w:bCs w:val="false"/>
          <w:i w:val="false"/>
          <w:iCs w:val="false"/>
          <w:caps w:val="false"/>
          <w:color w:val="000000"/>
          <w:sz w:val="20"/>
          <w:szCs w:val="20"/>
        </w:rPr>
        <w:t xml:space="preserve">The remainder of this paper is structured as follows. Section II presents a comprehensive literature review and identifies key research gaps. Section III formalises the problem statement. Sections IV and V describe the proposed framework and its architecture. Section VI presents core algorithms in pseudocode. Sections VII–XI address evaluation, discussion, limitations, future scope, and conclusion.</w:t>
      </w:r>
    </w:p>
    <w:p>
      <w:pPr>
        <w:spacing w:after="120" w:before="280"/>
        <w:jc w:val="both"/>
      </w:pPr>
      <w:r>
        <w:rPr>
          <w:rFonts w:ascii="Times New Roman" w:cs="Times New Roman" w:eastAsia="Times New Roman" w:hAnsi="Times New Roman"/>
          <w:b/>
          <w:bCs/>
          <w:i w:val="false"/>
          <w:iCs w:val="false"/>
          <w:caps w:val="false"/>
          <w:color w:val="000000"/>
          <w:sz w:val="22"/>
          <w:szCs w:val="22"/>
        </w:rPr>
        <w:t xml:space="preserve">II. LITERATURE REVIEW</w:t>
      </w:r>
    </w:p>
    <w:p>
      <w:pPr>
        <w:spacing w:after="80" w:before="180"/>
        <w:jc w:val="both"/>
      </w:pPr>
      <w:r>
        <w:rPr>
          <w:rFonts w:ascii="Times New Roman" w:cs="Times New Roman" w:eastAsia="Times New Roman" w:hAnsi="Times New Roman"/>
          <w:b/>
          <w:bCs/>
          <w:i/>
          <w:iCs/>
          <w:caps w:val="false"/>
          <w:color w:val="000000"/>
          <w:sz w:val="20"/>
          <w:szCs w:val="20"/>
        </w:rPr>
        <w:t xml:space="preserve">A. Multi-Agent Systems and Agentic AI</w:t>
      </w:r>
    </w:p>
    <w:p>
      <w:pPr>
        <w:spacing w:after="120" w:before="0"/>
        <w:jc w:val="both"/>
      </w:pPr>
      <w:r>
        <w:rPr>
          <w:rFonts w:ascii="Times New Roman" w:cs="Times New Roman" w:eastAsia="Times New Roman" w:hAnsi="Times New Roman"/>
          <w:b w:val="false"/>
          <w:bCs w:val="false"/>
          <w:i w:val="false"/>
          <w:iCs w:val="false"/>
          <w:caps w:val="false"/>
          <w:color w:val="000000"/>
          <w:sz w:val="20"/>
          <w:szCs w:val="20"/>
        </w:rPr>
        <w:t xml:space="preserve">The theoretical foundations of Multi-Agent Systems (MAS) were formalised by Wooldridge and Jennings [5], who classified intelligent agents as autonomous, reactive, proactive, and socially capable entities. Subsequent works by Weiss [6] and Ferber [7] established coordination protocols, negotiation mechanisms, and emergent behaviour in agent collectives. MAS have since been deployed in supply chain management [8], autonomous vehicle coordination [9], and distributed resource allocation [10].</w:t>
      </w:r>
    </w:p>
    <w:p>
      <w:pPr>
        <w:spacing w:after="120" w:before="0"/>
        <w:jc w:val="both"/>
      </w:pPr>
      <w:r>
        <w:rPr>
          <w:rFonts w:ascii="Times New Roman" w:cs="Times New Roman" w:eastAsia="Times New Roman" w:hAnsi="Times New Roman"/>
          <w:b w:val="false"/>
          <w:bCs w:val="false"/>
          <w:i w:val="false"/>
          <w:iCs w:val="false"/>
          <w:caps w:val="false"/>
          <w:color w:val="000000"/>
          <w:sz w:val="20"/>
          <w:szCs w:val="20"/>
        </w:rPr>
        <w:t xml:space="preserve">The emergence of LLM-powered agents has substantially renewed academic interest. Yao et al.'s ReAct framework [11] demonstrated that LLMs can interleave reasoning and action traces to enable dynamic, multi-step tool use. AutoGPT [12] and LangChain [13] popularised goal-directed autonomous agents capable of external API interaction. Park et al.'s Generative Agents [14] introduced memory streams and reflection mechanisms that allow agents to simulate credible social behaviour across multi-agent simulations. However, these systems remain largely experimental, lack domain-specific evaluation, and have not been applied to structured societal problems such as personalised career counselling or civic grievance management.</w:t>
      </w:r>
    </w:p>
    <w:p>
      <w:pPr>
        <w:spacing w:after="120" w:before="0"/>
        <w:jc w:val="both"/>
      </w:pPr>
      <w:r>
        <w:rPr>
          <w:rFonts w:ascii="Times New Roman" w:cs="Times New Roman" w:eastAsia="Times New Roman" w:hAnsi="Times New Roman"/>
          <w:b/>
          <w:bCs/>
          <w:i w:val="false"/>
          <w:iCs w:val="false"/>
          <w:caps w:val="false"/>
          <w:color w:val="000000"/>
          <w:sz w:val="20"/>
          <w:szCs w:val="20"/>
        </w:rPr>
        <w:t xml:space="preserve">Research Gap: </w:t>
      </w:r>
      <w:r>
        <w:rPr>
          <w:rFonts w:ascii="Times New Roman" w:cs="Times New Roman" w:eastAsia="Times New Roman" w:hAnsi="Times New Roman"/>
          <w:b w:val="false"/>
          <w:bCs w:val="false"/>
          <w:i w:val="false"/>
          <w:iCs w:val="false"/>
          <w:caps w:val="false"/>
          <w:color w:val="000000"/>
          <w:sz w:val="20"/>
          <w:szCs w:val="20"/>
        </w:rPr>
        <w:t xml:space="preserve">No existing MAS or agentic AI framework has been purpose-designed for the dual domains of youth career development and civic participation within a developing-economy context.</w:t>
      </w:r>
    </w:p>
    <w:p>
      <w:pPr>
        <w:spacing w:after="80" w:before="180"/>
        <w:jc w:val="both"/>
      </w:pPr>
      <w:r>
        <w:rPr>
          <w:rFonts w:ascii="Times New Roman" w:cs="Times New Roman" w:eastAsia="Times New Roman" w:hAnsi="Times New Roman"/>
          <w:b/>
          <w:bCs/>
          <w:i/>
          <w:iCs/>
          <w:caps w:val="false"/>
          <w:color w:val="000000"/>
          <w:sz w:val="20"/>
          <w:szCs w:val="20"/>
        </w:rPr>
        <w:t xml:space="preserve">B. Career Recommendation Systems</w:t>
      </w:r>
    </w:p>
    <w:p>
      <w:pPr>
        <w:spacing w:after="120" w:before="0"/>
        <w:jc w:val="both"/>
      </w:pPr>
      <w:r>
        <w:rPr>
          <w:rFonts w:ascii="Times New Roman" w:cs="Times New Roman" w:eastAsia="Times New Roman" w:hAnsi="Times New Roman"/>
          <w:b w:val="false"/>
          <w:bCs w:val="false"/>
          <w:i w:val="false"/>
          <w:iCs w:val="false"/>
          <w:caps w:val="false"/>
          <w:color w:val="000000"/>
          <w:sz w:val="20"/>
          <w:szCs w:val="20"/>
        </w:rPr>
        <w:t xml:space="preserve">Career recommendation has evolved from rule-based expert systems [15] through collaborative filtering models [16] to deep learning approaches. Kenthapadi et al. [17] proposed a personalised job recommendation system at scale using matrix factorisation and contextual bandits. Zhu et al. [18] applied Graph Neural Networks to model the bipartite user-job interaction graph, outperforming traditional collaborative filtering. BERT-based models [19] have more recently been used to encode both job descriptions and candidate profiles into a shared semantic embedding space for similarity matching.</w:t>
      </w:r>
    </w:p>
    <w:p>
      <w:pPr>
        <w:spacing w:after="120" w:before="0"/>
        <w:jc w:val="both"/>
      </w:pPr>
      <w:r>
        <w:rPr>
          <w:rFonts w:ascii="Times New Roman" w:cs="Times New Roman" w:eastAsia="Times New Roman" w:hAnsi="Times New Roman"/>
          <w:b w:val="false"/>
          <w:bCs w:val="false"/>
          <w:i w:val="false"/>
          <w:iCs w:val="false"/>
          <w:caps w:val="false"/>
          <w:color w:val="000000"/>
          <w:sz w:val="20"/>
          <w:szCs w:val="20"/>
        </w:rPr>
        <w:t xml:space="preserve">In the Indian context, career guidance AI remains underdeveloped. The National Career Service (NCS) Portal offers rudimentary job matching but lacks personalised skill analysis, proactive roadmap generation, or trend-aware recommendations. Sharma and Tripathi [20] surveyed Indian career counselling tools and confirmed that none leverage advanced ML pipelines or dynamic student profile modelling.</w:t>
      </w:r>
    </w:p>
    <w:p>
      <w:pPr>
        <w:spacing w:after="120" w:before="0"/>
        <w:jc w:val="both"/>
      </w:pPr>
      <w:r>
        <w:rPr>
          <w:rFonts w:ascii="Times New Roman" w:cs="Times New Roman" w:eastAsia="Times New Roman" w:hAnsi="Times New Roman"/>
          <w:b/>
          <w:bCs/>
          <w:i w:val="false"/>
          <w:iCs w:val="false"/>
          <w:caps w:val="false"/>
          <w:color w:val="000000"/>
          <w:sz w:val="20"/>
          <w:szCs w:val="20"/>
        </w:rPr>
        <w:t xml:space="preserve">Research Gap: </w:t>
      </w:r>
      <w:r>
        <w:rPr>
          <w:rFonts w:ascii="Times New Roman" w:cs="Times New Roman" w:eastAsia="Times New Roman" w:hAnsi="Times New Roman"/>
          <w:b w:val="false"/>
          <w:bCs w:val="false"/>
          <w:i w:val="false"/>
          <w:iCs w:val="false"/>
          <w:caps w:val="false"/>
          <w:color w:val="000000"/>
          <w:sz w:val="20"/>
          <w:szCs w:val="20"/>
        </w:rPr>
        <w:t xml:space="preserve">Existing career recommendation systems do not integrate skill gap analysis, learning roadmap generation, and opportunity discovery into a unified multi-agent pipeline that updates recommendations dynamically based on user progress.</w:t>
      </w:r>
    </w:p>
    <w:p>
      <w:pPr>
        <w:spacing w:after="80" w:before="180"/>
        <w:jc w:val="both"/>
      </w:pPr>
      <w:r>
        <w:rPr>
          <w:rFonts w:ascii="Times New Roman" w:cs="Times New Roman" w:eastAsia="Times New Roman" w:hAnsi="Times New Roman"/>
          <w:b/>
          <w:bCs/>
          <w:i/>
          <w:iCs/>
          <w:caps w:val="false"/>
          <w:color w:val="000000"/>
          <w:sz w:val="20"/>
          <w:szCs w:val="20"/>
        </w:rPr>
        <w:t xml:space="preserve">C. Skill Gap Analysis and Educational AI</w:t>
      </w:r>
    </w:p>
    <w:p>
      <w:pPr>
        <w:spacing w:after="120" w:before="0"/>
        <w:jc w:val="both"/>
      </w:pPr>
      <w:r>
        <w:rPr>
          <w:rFonts w:ascii="Times New Roman" w:cs="Times New Roman" w:eastAsia="Times New Roman" w:hAnsi="Times New Roman"/>
          <w:b w:val="false"/>
          <w:bCs w:val="false"/>
          <w:i w:val="false"/>
          <w:iCs w:val="false"/>
          <w:caps w:val="false"/>
          <w:color w:val="000000"/>
          <w:sz w:val="20"/>
          <w:szCs w:val="20"/>
        </w:rPr>
        <w:t xml:space="preserve">Skill gap analysis has been addressed through ontology-based competency frameworks [21], where competencies are modelled as structured nodes in a knowledge graph. Conde et al. [22] proposed a semantic skill gap detection system using SPARQL queries over an OWL-based competency ontology. In adaptive learning, intelligent tutoring systems such as ASSISTments [23] leverage Bayesian knowledge tracing to model learner states. The O*NET occupational database [24] and NSDC's Qualifications Pack framework provide structured competency taxonomies that have not, to date, been computationally integrated into real-time gap analysis systems.</w:t>
      </w:r>
    </w:p>
    <w:p>
      <w:pPr>
        <w:spacing w:after="120" w:before="0"/>
        <w:jc w:val="both"/>
      </w:pPr>
      <w:r>
        <w:rPr>
          <w:rFonts w:ascii="Times New Roman" w:cs="Times New Roman" w:eastAsia="Times New Roman" w:hAnsi="Times New Roman"/>
          <w:b/>
          <w:bCs/>
          <w:i w:val="false"/>
          <w:iCs w:val="false"/>
          <w:caps w:val="false"/>
          <w:color w:val="000000"/>
          <w:sz w:val="20"/>
          <w:szCs w:val="20"/>
        </w:rPr>
        <w:t xml:space="preserve">Research Gap: </w:t>
      </w:r>
      <w:r>
        <w:rPr>
          <w:rFonts w:ascii="Times New Roman" w:cs="Times New Roman" w:eastAsia="Times New Roman" w:hAnsi="Times New Roman"/>
          <w:b w:val="false"/>
          <w:bCs w:val="false"/>
          <w:i w:val="false"/>
          <w:iCs w:val="false"/>
          <w:caps w:val="false"/>
          <w:color w:val="000000"/>
          <w:sz w:val="20"/>
          <w:szCs w:val="20"/>
        </w:rPr>
        <w:t xml:space="preserve">No current system integrates occupational ontologies with dynamic learner profiling to generate personalised, dependency-ordered skill development roadmaps for career-seeking youth.</w:t>
      </w:r>
    </w:p>
    <w:p>
      <w:pPr>
        <w:spacing w:after="80" w:before="180"/>
        <w:jc w:val="both"/>
      </w:pPr>
      <w:r>
        <w:rPr>
          <w:rFonts w:ascii="Times New Roman" w:cs="Times New Roman" w:eastAsia="Times New Roman" w:hAnsi="Times New Roman"/>
          <w:b/>
          <w:bCs/>
          <w:i/>
          <w:iCs/>
          <w:caps w:val="false"/>
          <w:color w:val="000000"/>
          <w:sz w:val="20"/>
          <w:szCs w:val="20"/>
        </w:rPr>
        <w:t xml:space="preserve">D. Civic Engagement and E-Governance Systems</w:t>
      </w:r>
    </w:p>
    <w:p>
      <w:pPr>
        <w:spacing w:after="120" w:before="0"/>
        <w:jc w:val="both"/>
      </w:pPr>
      <w:r>
        <w:rPr>
          <w:rFonts w:ascii="Times New Roman" w:cs="Times New Roman" w:eastAsia="Times New Roman" w:hAnsi="Times New Roman"/>
          <w:b w:val="false"/>
          <w:bCs w:val="false"/>
          <w:i w:val="false"/>
          <w:iCs w:val="false"/>
          <w:caps w:val="false"/>
          <w:color w:val="000000"/>
          <w:sz w:val="20"/>
          <w:szCs w:val="20"/>
        </w:rPr>
        <w:t xml:space="preserve">E-governance research has examined citizen participation [25], digital service delivery [26], and grievance redressal [27]. Automatic classification of citizen complaints using SVM and CNN models achieves accuracy in the 72–85% range on manually labelled datasets [28]. Barata et al. [29] explored intelligent complaint routing for public administration using rule-based systems. Garg et al. [30] applied transformer models to Indian public grievances, achieving 88.6% routing accuracy on a 21-class department classification task using a bilingual Hindi-English BERT model. However, no unified AI platform integrates grievance management with real-time tracking, SLA-based escalation logic, and citizen feedback within a single youth-facing interface.</w:t>
      </w:r>
    </w:p>
    <w:p>
      <w:pPr>
        <w:spacing w:after="120" w:before="0"/>
        <w:jc w:val="both"/>
      </w:pPr>
      <w:r>
        <w:rPr>
          <w:rFonts w:ascii="Times New Roman" w:cs="Times New Roman" w:eastAsia="Times New Roman" w:hAnsi="Times New Roman"/>
          <w:b/>
          <w:bCs/>
          <w:i w:val="false"/>
          <w:iCs w:val="false"/>
          <w:caps w:val="false"/>
          <w:color w:val="000000"/>
          <w:sz w:val="20"/>
          <w:szCs w:val="20"/>
        </w:rPr>
        <w:t xml:space="preserve">Research Gap: </w:t>
      </w:r>
      <w:r>
        <w:rPr>
          <w:rFonts w:ascii="Times New Roman" w:cs="Times New Roman" w:eastAsia="Times New Roman" w:hAnsi="Times New Roman"/>
          <w:b w:val="false"/>
          <w:bCs w:val="false"/>
          <w:i w:val="false"/>
          <w:iCs w:val="false"/>
          <w:caps w:val="false"/>
          <w:color w:val="000000"/>
          <w:sz w:val="20"/>
          <w:szCs w:val="20"/>
        </w:rPr>
        <w:t xml:space="preserve">While individual components—classification, routing, tracking—have been studied independently, the full grievance lifecycle has not been addressed in a youth-oriented, AI-driven platform.</w:t>
      </w:r>
    </w:p>
    <w:p>
      <w:pPr>
        <w:spacing w:after="80" w:before="180"/>
        <w:jc w:val="both"/>
      </w:pPr>
      <w:r>
        <w:rPr>
          <w:rFonts w:ascii="Times New Roman" w:cs="Times New Roman" w:eastAsia="Times New Roman" w:hAnsi="Times New Roman"/>
          <w:b/>
          <w:bCs/>
          <w:i/>
          <w:iCs/>
          <w:caps w:val="false"/>
          <w:color w:val="000000"/>
          <w:sz w:val="20"/>
          <w:szCs w:val="20"/>
        </w:rPr>
        <w:t xml:space="preserve">E. Summary of Research Gaps</w:t>
      </w:r>
    </w:p>
    <w:p>
      <w:pPr>
        <w:spacing w:after="60" w:before="0"/>
        <w:jc w:val="both"/>
      </w:pPr>
      <w:r>
        <w:rPr>
          <w:rFonts w:ascii="Times New Roman" w:cs="Times New Roman" w:eastAsia="Times New Roman" w:hAnsi="Times New Roman"/>
          <w:b w:val="false"/>
          <w:bCs w:val="false"/>
          <w:i w:val="false"/>
          <w:iCs w:val="false"/>
          <w:cap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rPr>
          <w:tblHeader/>
        </w:trPr>
        <w:tc>
          <w:tcPr>
            <w:tcW w:type="dxa" w:w="2200"/>
            <w:tcBorders>
              <w:top w:val="single" w:color="BBBBBB" w:sz="1"/>
              <w:left w:val="single" w:color="BBBBBB" w:sz="1"/>
              <w:bottom w:val="single" w:color="BBBBBB" w:sz="1"/>
              <w:right w:val="single" w:color="BBBBBB" w:sz="1"/>
            </w:tcBorders>
            <w:shd w:fill="1E3A5F" w:val="clear"/>
            <w:tcMar>
              <w:top w:type="dxa" w:w="70"/>
              <w:left w:type="dxa" w:w="120"/>
              <w:bottom w:type="dxa" w:w="70"/>
              <w:right w:type="dxa" w:w="120"/>
            </w:tcMar>
          </w:tcPr>
          <w:p>
            <w:pPr>
              <w:spacing w:after="0" w:before="0"/>
            </w:pPr>
            <w:r>
              <w:rPr>
                <w:rFonts w:ascii="Times New Roman" w:cs="Times New Roman" w:eastAsia="Times New Roman" w:hAnsi="Times New Roman"/>
                <w:b/>
                <w:bCs/>
                <w:color w:val="FFFFFF"/>
                <w:sz w:val="18"/>
                <w:szCs w:val="18"/>
              </w:rPr>
              <w:t xml:space="preserve">Domain</w:t>
            </w:r>
          </w:p>
        </w:tc>
        <w:tc>
          <w:tcPr>
            <w:tcW w:type="dxa" w:w="3580"/>
            <w:tcBorders>
              <w:top w:val="single" w:color="BBBBBB" w:sz="1"/>
              <w:left w:val="single" w:color="BBBBBB" w:sz="1"/>
              <w:bottom w:val="single" w:color="BBBBBB" w:sz="1"/>
              <w:right w:val="single" w:color="BBBBBB" w:sz="1"/>
            </w:tcBorders>
            <w:shd w:fill="1E3A5F" w:val="clear"/>
            <w:tcMar>
              <w:top w:type="dxa" w:w="70"/>
              <w:left w:type="dxa" w:w="120"/>
              <w:bottom w:type="dxa" w:w="70"/>
              <w:right w:type="dxa" w:w="120"/>
            </w:tcMar>
          </w:tcPr>
          <w:p>
            <w:pPr>
              <w:spacing w:after="0" w:before="0"/>
            </w:pPr>
            <w:r>
              <w:rPr>
                <w:rFonts w:ascii="Times New Roman" w:cs="Times New Roman" w:eastAsia="Times New Roman" w:hAnsi="Times New Roman"/>
                <w:b/>
                <w:bCs/>
                <w:color w:val="FFFFFF"/>
                <w:sz w:val="18"/>
                <w:szCs w:val="18"/>
              </w:rPr>
              <w:t xml:space="preserve">Existing State</w:t>
            </w:r>
          </w:p>
        </w:tc>
        <w:tc>
          <w:tcPr>
            <w:tcW w:type="dxa" w:w="3580"/>
            <w:tcBorders>
              <w:top w:val="single" w:color="BBBBBB" w:sz="1"/>
              <w:left w:val="single" w:color="BBBBBB" w:sz="1"/>
              <w:bottom w:val="single" w:color="BBBBBB" w:sz="1"/>
              <w:right w:val="single" w:color="BBBBBB" w:sz="1"/>
            </w:tcBorders>
            <w:shd w:fill="1E3A5F" w:val="clear"/>
            <w:tcMar>
              <w:top w:type="dxa" w:w="70"/>
              <w:left w:type="dxa" w:w="120"/>
              <w:bottom w:type="dxa" w:w="70"/>
              <w:right w:type="dxa" w:w="120"/>
            </w:tcMar>
          </w:tcPr>
          <w:p>
            <w:pPr>
              <w:spacing w:after="0" w:before="0"/>
            </w:pPr>
            <w:r>
              <w:rPr>
                <w:rFonts w:ascii="Times New Roman" w:cs="Times New Roman" w:eastAsia="Times New Roman" w:hAnsi="Times New Roman"/>
                <w:b/>
                <w:bCs/>
                <w:color w:val="FFFFFF"/>
                <w:sz w:val="18"/>
                <w:szCs w:val="18"/>
              </w:rPr>
              <w:t xml:space="preserve">Gap Addressed by YUVA-AI</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Multi-Agent Systems</w:t>
            </w:r>
          </w:p>
        </w:tc>
        <w:tc>
          <w:tcPr>
            <w:tcW w:type="dxa" w:w="35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Task-specific MAS; no youth-societal applications</w:t>
            </w:r>
          </w:p>
        </w:tc>
        <w:tc>
          <w:tcPr>
            <w:tcW w:type="dxa" w:w="35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Unified societal MAS for dual-domain youth empowerment</w:t>
            </w:r>
          </w:p>
        </w:tc>
      </w:tr>
      <w:tr>
        <w:trPr>
          <w:tblHeader w:val="false"/>
        </w:trPr>
        <w:tc>
          <w:tcPr>
            <w:tcW w:type="dxa" w:w="2200"/>
            <w:tcBorders>
              <w:top w:val="single" w:color="BBBBBB" w:sz="1"/>
              <w:left w:val="single" w:color="BBBBBB" w:sz="1"/>
              <w:bottom w:val="single" w:color="BBBBBB" w:sz="1"/>
              <w:right w:val="single" w:color="BBBBBB" w:sz="1"/>
            </w:tcBorders>
            <w:shd w:fill="F2F6FB"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Career Recommendation</w:t>
            </w:r>
          </w:p>
        </w:tc>
        <w:tc>
          <w:tcPr>
            <w:tcW w:type="dxa" w:w="3580"/>
            <w:tcBorders>
              <w:top w:val="single" w:color="BBBBBB" w:sz="1"/>
              <w:left w:val="single" w:color="BBBBBB" w:sz="1"/>
              <w:bottom w:val="single" w:color="BBBBBB" w:sz="1"/>
              <w:right w:val="single" w:color="BBBBBB" w:sz="1"/>
            </w:tcBorders>
            <w:shd w:fill="F2F6FB"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Standalone job matching, limited personalisation</w:t>
            </w:r>
          </w:p>
        </w:tc>
        <w:tc>
          <w:tcPr>
            <w:tcW w:type="dxa" w:w="3580"/>
            <w:tcBorders>
              <w:top w:val="single" w:color="BBBBBB" w:sz="1"/>
              <w:left w:val="single" w:color="BBBBBB" w:sz="1"/>
              <w:bottom w:val="single" w:color="BBBBBB" w:sz="1"/>
              <w:right w:val="single" w:color="BBBBBB" w:sz="1"/>
            </w:tcBorders>
            <w:shd w:fill="F2F6FB"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Integrated guidance + gap analysis + opportunity pipeline</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Skill Gap Analysis</w:t>
            </w:r>
          </w:p>
        </w:tc>
        <w:tc>
          <w:tcPr>
            <w:tcW w:type="dxa" w:w="35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Static ontology matching, curriculum-bound</w:t>
            </w:r>
          </w:p>
        </w:tc>
        <w:tc>
          <w:tcPr>
            <w:tcW w:type="dxa" w:w="35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Dynamic, career-aware, dependency-ordered roadmaps</w:t>
            </w:r>
          </w:p>
        </w:tc>
      </w:tr>
      <w:tr>
        <w:trPr>
          <w:tblHeader w:val="false"/>
        </w:trPr>
        <w:tc>
          <w:tcPr>
            <w:tcW w:type="dxa" w:w="2200"/>
            <w:tcBorders>
              <w:top w:val="single" w:color="BBBBBB" w:sz="1"/>
              <w:left w:val="single" w:color="BBBBBB" w:sz="1"/>
              <w:bottom w:val="single" w:color="BBBBBB" w:sz="1"/>
              <w:right w:val="single" w:color="BBBBBB" w:sz="1"/>
            </w:tcBorders>
            <w:shd w:fill="F2F6FB"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Civic Engagement AI</w:t>
            </w:r>
          </w:p>
        </w:tc>
        <w:tc>
          <w:tcPr>
            <w:tcW w:type="dxa" w:w="3580"/>
            <w:tcBorders>
              <w:top w:val="single" w:color="BBBBBB" w:sz="1"/>
              <w:left w:val="single" w:color="BBBBBB" w:sz="1"/>
              <w:bottom w:val="single" w:color="BBBBBB" w:sz="1"/>
              <w:right w:val="single" w:color="BBBBBB" w:sz="1"/>
            </w:tcBorders>
            <w:shd w:fill="F2F6FB"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Siloed complaint classifiers, no lifecycle view</w:t>
            </w:r>
          </w:p>
        </w:tc>
        <w:tc>
          <w:tcPr>
            <w:tcW w:type="dxa" w:w="3580"/>
            <w:tcBorders>
              <w:top w:val="single" w:color="BBBBBB" w:sz="1"/>
              <w:left w:val="single" w:color="BBBBBB" w:sz="1"/>
              <w:bottom w:val="single" w:color="BBBBBB" w:sz="1"/>
              <w:right w:val="single" w:color="BBBBBB" w:sz="1"/>
            </w:tcBorders>
            <w:shd w:fill="F2F6FB"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End-to-end grievance lifecycle with SLA escalation</w:t>
            </w:r>
          </w:p>
        </w:tc>
      </w:tr>
      <w:tr>
        <w:trPr>
          <w:tblHeader w:val="false"/>
        </w:trPr>
        <w:tc>
          <w:tcPr>
            <w:tcW w:type="dxa" w:w="22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Youth Empowerment</w:t>
            </w:r>
          </w:p>
        </w:tc>
        <w:tc>
          <w:tcPr>
            <w:tcW w:type="dxa" w:w="35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HCI / social-computing studies only</w:t>
            </w:r>
          </w:p>
        </w:tc>
        <w:tc>
          <w:tcPr>
            <w:tcW w:type="dxa" w:w="358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AI-driven, contextually personalised, institutionally grounded</w:t>
            </w:r>
          </w:p>
        </w:tc>
      </w:tr>
    </w:tbl>
    <w:p>
      <w:pPr>
        <w:spacing w:after="200" w:before="80"/>
        <w:jc w:val="center"/>
      </w:pPr>
      <w:r>
        <w:rPr>
          <w:rFonts w:ascii="Times New Roman" w:cs="Times New Roman" w:eastAsia="Times New Roman" w:hAnsi="Times New Roman"/>
          <w:b w:val="false"/>
          <w:bCs w:val="false"/>
          <w:i/>
          <w:iCs/>
          <w:caps w:val="false"/>
          <w:color w:val="000000"/>
          <w:sz w:val="18"/>
          <w:szCs w:val="18"/>
        </w:rPr>
        <w:t xml:space="preserve">Table I. Summary of Research Gaps Addressed by YUVA-AI</w:t>
      </w:r>
    </w:p>
    <w:p>
      <w:pPr>
        <w:spacing w:after="120" w:before="280"/>
        <w:jc w:val="both"/>
      </w:pPr>
      <w:r>
        <w:rPr>
          <w:rFonts w:ascii="Times New Roman" w:cs="Times New Roman" w:eastAsia="Times New Roman" w:hAnsi="Times New Roman"/>
          <w:b/>
          <w:bCs/>
          <w:i w:val="false"/>
          <w:iCs w:val="false"/>
          <w:caps w:val="false"/>
          <w:color w:val="000000"/>
          <w:sz w:val="22"/>
          <w:szCs w:val="22"/>
        </w:rPr>
        <w:t xml:space="preserve">III. PROBLEM STATEMENT</w:t>
      </w:r>
    </w:p>
    <w:p>
      <w:pPr>
        <w:spacing w:after="120" w:before="0"/>
        <w:jc w:val="both"/>
      </w:pPr>
      <w:r>
        <w:rPr>
          <w:rFonts w:ascii="Times New Roman" w:cs="Times New Roman" w:eastAsia="Times New Roman" w:hAnsi="Times New Roman"/>
          <w:b w:val="false"/>
          <w:bCs w:val="false"/>
          <w:i w:val="false"/>
          <w:iCs w:val="false"/>
          <w:caps w:val="false"/>
          <w:color w:val="000000"/>
          <w:sz w:val="20"/>
          <w:szCs w:val="20"/>
        </w:rPr>
        <w:t xml:space="preserve">Let U = {u1, u2, ..., un} represent a population of n youth users, each characterised by a multi-dimensional profile vector pi = [ei, si, ii, gi, li] where ei denotes educational background, si current skill set, ii interests, gi goals, and li geographic location.</w:t>
      </w:r>
    </w:p>
    <w:p>
      <w:pPr>
        <w:spacing w:after="80" w:before="180"/>
        <w:jc w:val="both"/>
      </w:pPr>
      <w:r>
        <w:rPr>
          <w:rFonts w:ascii="Times New Roman" w:cs="Times New Roman" w:eastAsia="Times New Roman" w:hAnsi="Times New Roman"/>
          <w:b/>
          <w:bCs/>
          <w:i/>
          <w:iCs/>
          <w:caps w:val="false"/>
          <w:color w:val="000000"/>
          <w:sz w:val="20"/>
          <w:szCs w:val="20"/>
        </w:rPr>
        <w:t xml:space="preserve">A. Career Development Problem</w:t>
      </w:r>
    </w:p>
    <w:p>
      <w:pPr>
        <w:spacing w:after="120" w:before="0"/>
        <w:jc w:val="both"/>
      </w:pPr>
      <w:r>
        <w:rPr>
          <w:rFonts w:ascii="Times New Roman" w:cs="Times New Roman" w:eastAsia="Times New Roman" w:hAnsi="Times New Roman"/>
          <w:b w:val="false"/>
          <w:bCs w:val="false"/>
          <w:i w:val="false"/>
          <w:iCs w:val="false"/>
          <w:caps w:val="false"/>
          <w:color w:val="000000"/>
          <w:sz w:val="20"/>
          <w:szCs w:val="20"/>
        </w:rPr>
        <w:t xml:space="preserve">Given a user ui with profile pi and a set of career paths C = {c1, c2, ..., cm}, the system must: (1) identify a ranked set of k most suitable career paths Ri from C for user ui; (2) compute a skill gap vector Delta_ij = Req(cj) - Skills(ui) for the top-ranked career cj; (3) generate an ordered learning roadmap Lij that minimises time-to-competency subject to user-specific constraints; and (4) recommend a set of opportunities Oi filtered by profile pi and gap vector Delta_ij.</w:t>
      </w:r>
    </w:p>
    <w:p>
      <w:pPr>
        <w:spacing w:after="80" w:before="180"/>
        <w:jc w:val="both"/>
      </w:pPr>
      <w:r>
        <w:rPr>
          <w:rFonts w:ascii="Times New Roman" w:cs="Times New Roman" w:eastAsia="Times New Roman" w:hAnsi="Times New Roman"/>
          <w:b/>
          <w:bCs/>
          <w:i/>
          <w:iCs/>
          <w:caps w:val="false"/>
          <w:color w:val="000000"/>
          <w:sz w:val="20"/>
          <w:szCs w:val="20"/>
        </w:rPr>
        <w:t xml:space="preserve">B. Civic Engagement Problem</w:t>
      </w:r>
    </w:p>
    <w:p>
      <w:pPr>
        <w:spacing w:after="120" w:before="0"/>
        <w:jc w:val="both"/>
      </w:pPr>
      <w:r>
        <w:rPr>
          <w:rFonts w:ascii="Times New Roman" w:cs="Times New Roman" w:eastAsia="Times New Roman" w:hAnsi="Times New Roman"/>
          <w:b w:val="false"/>
          <w:bCs w:val="false"/>
          <w:i w:val="false"/>
          <w:iCs w:val="false"/>
          <w:caps w:val="false"/>
          <w:color w:val="000000"/>
          <w:sz w:val="20"/>
          <w:szCs w:val="20"/>
        </w:rPr>
        <w:t xml:space="preserve">Given a grievance text ti submitted by user ui, the system must: (1) classify ti into a category from a predefined 30-class CPGRAMS-aligned taxonomy; (2) route ti to the responsible department d* = argmax_d P(d | ti) using a fine-tuned probabilistic classifier; (3) track resolution status over time and trigger escalation when resolution exceeds SLA windows; and (4) generate analytics over complaint distributions, resolution times, and hotspot detection.</w:t>
      </w:r>
    </w:p>
    <w:p>
      <w:pPr>
        <w:spacing w:after="80" w:before="180"/>
        <w:jc w:val="both"/>
      </w:pPr>
      <w:r>
        <w:rPr>
          <w:rFonts w:ascii="Times New Roman" w:cs="Times New Roman" w:eastAsia="Times New Roman" w:hAnsi="Times New Roman"/>
          <w:b/>
          <w:bCs/>
          <w:i/>
          <w:iCs/>
          <w:caps w:val="false"/>
          <w:color w:val="000000"/>
          <w:sz w:val="20"/>
          <w:szCs w:val="20"/>
        </w:rPr>
        <w:t xml:space="preserve">C. Unified Design Challenge</w:t>
      </w:r>
    </w:p>
    <w:p>
      <w:pPr>
        <w:spacing w:after="120" w:before="0"/>
        <w:jc w:val="both"/>
      </w:pPr>
      <w:r>
        <w:rPr>
          <w:rFonts w:ascii="Times New Roman" w:cs="Times New Roman" w:eastAsia="Times New Roman" w:hAnsi="Times New Roman"/>
          <w:b w:val="false"/>
          <w:bCs w:val="false"/>
          <w:i w:val="false"/>
          <w:iCs w:val="false"/>
          <w:caps w:val="false"/>
          <w:color w:val="000000"/>
          <w:sz w:val="20"/>
          <w:szCs w:val="20"/>
        </w:rPr>
        <w:t xml:space="preserve">Design a coherent multi-agent system M = {A1, ..., A8, O} where O is an Orchestration Layer that coordinates agents A1 through A8 to simultaneously satisfy both optimisation objectives, while remaining lightweight enough for deployment on low-bandwidth infrastructure prevalent in rural India.</w:t>
      </w:r>
    </w:p>
    <w:p>
      <w:pPr>
        <w:spacing w:after="120" w:before="280"/>
        <w:jc w:val="both"/>
      </w:pPr>
      <w:r>
        <w:rPr>
          <w:rFonts w:ascii="Times New Roman" w:cs="Times New Roman" w:eastAsia="Times New Roman" w:hAnsi="Times New Roman"/>
          <w:b/>
          <w:bCs/>
          <w:i w:val="false"/>
          <w:iCs w:val="false"/>
          <w:caps w:val="false"/>
          <w:color w:val="000000"/>
          <w:sz w:val="22"/>
          <w:szCs w:val="22"/>
        </w:rPr>
        <w:t xml:space="preserve">IV. PROPOSED FRAMEWORK: YUVA-AI</w:t>
      </w:r>
    </w:p>
    <w:p>
      <w:pPr>
        <w:spacing w:after="80" w:before="180"/>
        <w:jc w:val="both"/>
      </w:pPr>
      <w:r>
        <w:rPr>
          <w:rFonts w:ascii="Times New Roman" w:cs="Times New Roman" w:eastAsia="Times New Roman" w:hAnsi="Times New Roman"/>
          <w:b/>
          <w:bCs/>
          <w:i/>
          <w:iCs/>
          <w:caps w:val="false"/>
          <w:color w:val="000000"/>
          <w:sz w:val="20"/>
          <w:szCs w:val="20"/>
        </w:rPr>
        <w:t xml:space="preserve">A. Design Philosophy</w:t>
      </w:r>
    </w:p>
    <w:p>
      <w:pPr>
        <w:spacing w:after="120" w:before="0"/>
        <w:jc w:val="both"/>
      </w:pPr>
      <w:r>
        <w:rPr>
          <w:rFonts w:ascii="Times New Roman" w:cs="Times New Roman" w:eastAsia="Times New Roman" w:hAnsi="Times New Roman"/>
          <w:b w:val="false"/>
          <w:bCs w:val="false"/>
          <w:i w:val="false"/>
          <w:iCs w:val="false"/>
          <w:caps w:val="false"/>
          <w:color w:val="000000"/>
          <w:sz w:val="20"/>
          <w:szCs w:val="20"/>
        </w:rPr>
        <w:t xml:space="preserve">YUVA-AI is designed on three architectural principles. Modularity ensures that each agent is independently deployable and upgradeable without affecting the broader system. Context Persistence, maintained through a Shared Knowledge Store (SKS), ensures user state and interaction history survive across sessions and agent boundaries. Progressive Personalisation ensures that recommendations improve as user interactions accumulate, leveraging a continuous feedback loop between agents.</w:t>
      </w:r>
    </w:p>
    <w:p>
      <w:pPr>
        <w:spacing w:after="80" w:before="180"/>
        <w:jc w:val="both"/>
      </w:pPr>
      <w:r>
        <w:rPr>
          <w:rFonts w:ascii="Times New Roman" w:cs="Times New Roman" w:eastAsia="Times New Roman" w:hAnsi="Times New Roman"/>
          <w:b/>
          <w:bCs/>
          <w:i/>
          <w:iCs/>
          <w:caps w:val="false"/>
          <w:color w:val="000000"/>
          <w:sz w:val="20"/>
          <w:szCs w:val="20"/>
        </w:rPr>
        <w:t xml:space="preserve">B. Agent Descriptions</w:t>
      </w:r>
    </w:p>
    <w:p>
      <w:pPr>
        <w:spacing w:after="120" w:before="0"/>
        <w:jc w:val="both"/>
      </w:pPr>
      <w:r>
        <w:rPr>
          <w:rFonts w:ascii="Times New Roman" w:cs="Times New Roman" w:eastAsia="Times New Roman" w:hAnsi="Times New Roman"/>
          <w:b/>
          <w:bCs/>
          <w:i w:val="false"/>
          <w:iCs w:val="false"/>
          <w:caps w:val="false"/>
          <w:color w:val="000000"/>
          <w:sz w:val="20"/>
          <w:szCs w:val="20"/>
        </w:rPr>
        <w:t xml:space="preserve">Agent 1 — User Profile Agent (UPA): </w:t>
      </w:r>
      <w:r>
        <w:rPr>
          <w:rFonts w:ascii="Times New Roman" w:cs="Times New Roman" w:eastAsia="Times New Roman" w:hAnsi="Times New Roman"/>
          <w:b w:val="false"/>
          <w:bCs w:val="false"/>
          <w:i w:val="false"/>
          <w:iCs w:val="false"/>
          <w:caps w:val="false"/>
          <w:color w:val="000000"/>
          <w:sz w:val="20"/>
          <w:szCs w:val="20"/>
        </w:rPr>
        <w:t xml:space="preserve">The UPA is the system's entry point. It conducts a structured multi-turn dialogue to collect education level, institution, CGPA, skill set (via taxonomy selection and free text), career interests, short-term and long-term goals, and geographic location. The UPA employs a slot-filling dialogue management strategy where slots correspond to profile vector dimensions. Collected data is encoded, normalised, and stored in the SKS. The UPA periodically updates profiles based on interaction signals received from downstream agents.</w:t>
      </w:r>
    </w:p>
    <w:p>
      <w:pPr>
        <w:spacing w:after="120" w:before="0"/>
        <w:jc w:val="both"/>
      </w:pPr>
      <w:r>
        <w:rPr>
          <w:rFonts w:ascii="Times New Roman" w:cs="Times New Roman" w:eastAsia="Times New Roman" w:hAnsi="Times New Roman"/>
          <w:b/>
          <w:bCs/>
          <w:i w:val="false"/>
          <w:iCs w:val="false"/>
          <w:caps w:val="false"/>
          <w:color w:val="000000"/>
          <w:sz w:val="20"/>
          <w:szCs w:val="20"/>
        </w:rPr>
        <w:t xml:space="preserve">Agent 2 — Career Guidance Agent (CGA): </w:t>
      </w:r>
      <w:r>
        <w:rPr>
          <w:rFonts w:ascii="Times New Roman" w:cs="Times New Roman" w:eastAsia="Times New Roman" w:hAnsi="Times New Roman"/>
          <w:b w:val="false"/>
          <w:bCs w:val="false"/>
          <w:i w:val="false"/>
          <w:iCs w:val="false"/>
          <w:caps w:val="false"/>
          <w:color w:val="000000"/>
          <w:sz w:val="20"/>
          <w:szCs w:val="20"/>
        </w:rPr>
        <w:t xml:space="preserve">The CGA receives a user profile vector and returns a ranked list of recommended career paths. It operates a hybrid recommendation model: (a) content-based filtering using cosine similarity between the user skill embedding and career role embeddings derived from O*NET descriptors; (b) collaborative filtering using a user-career interaction matrix built from aggregated anonymised user data; and (c) trend injection, where career paths are reweighted by a Trend Score derived from NASSCOM and LinkedIn Emerging Jobs indices.</w:t>
      </w:r>
    </w:p>
    <w:p>
      <w:pPr>
        <w:spacing w:after="120" w:before="0"/>
        <w:jc w:val="both"/>
      </w:pPr>
      <w:r>
        <w:rPr>
          <w:rFonts w:ascii="Times New Roman" w:cs="Times New Roman" w:eastAsia="Times New Roman" w:hAnsi="Times New Roman"/>
          <w:b/>
          <w:bCs/>
          <w:i w:val="false"/>
          <w:iCs w:val="false"/>
          <w:caps w:val="false"/>
          <w:color w:val="000000"/>
          <w:sz w:val="20"/>
          <w:szCs w:val="20"/>
        </w:rPr>
        <w:t xml:space="preserve">Agent 3 — Skill Gap Agent (SGA): </w:t>
      </w:r>
      <w:r>
        <w:rPr>
          <w:rFonts w:ascii="Times New Roman" w:cs="Times New Roman" w:eastAsia="Times New Roman" w:hAnsi="Times New Roman"/>
          <w:b w:val="false"/>
          <w:bCs w:val="false"/>
          <w:i w:val="false"/>
          <w:iCs w:val="false"/>
          <w:caps w:val="false"/>
          <w:color w:val="000000"/>
          <w:sz w:val="20"/>
          <w:szCs w:val="20"/>
        </w:rPr>
        <w:t xml:space="preserve">The SGA accepts the top-k career recommendations from the CGA and the current user skill profile. It queries a Competency Knowledge Graph (CKG)—an OWL ontology of skills, competencies, and role requirements derived from O*NET and NSDC QP documents—to compute the gap vector for each recommended career. The SGA generates a dependency-ordered roadmap that sequences skill acquisition by prerequisite relationships and estimated learning effort sourced from SWAYAM and Coursera course metadata.</w:t>
      </w:r>
    </w:p>
    <w:p>
      <w:pPr>
        <w:spacing w:after="120" w:before="0"/>
        <w:jc w:val="both"/>
      </w:pPr>
      <w:r>
        <w:rPr>
          <w:rFonts w:ascii="Times New Roman" w:cs="Times New Roman" w:eastAsia="Times New Roman" w:hAnsi="Times New Roman"/>
          <w:b/>
          <w:bCs/>
          <w:i w:val="false"/>
          <w:iCs w:val="false"/>
          <w:caps w:val="false"/>
          <w:color w:val="000000"/>
          <w:sz w:val="20"/>
          <w:szCs w:val="20"/>
        </w:rPr>
        <w:t xml:space="preserve">Agent 4 — Opportunity Agent (OA): </w:t>
      </w:r>
      <w:r>
        <w:rPr>
          <w:rFonts w:ascii="Times New Roman" w:cs="Times New Roman" w:eastAsia="Times New Roman" w:hAnsi="Times New Roman"/>
          <w:b w:val="false"/>
          <w:bCs w:val="false"/>
          <w:i w:val="false"/>
          <w:iCs w:val="false"/>
          <w:caps w:val="false"/>
          <w:color w:val="000000"/>
          <w:sz w:val="20"/>
          <w:szCs w:val="20"/>
        </w:rPr>
        <w:t xml:space="preserve">The OA receives the user profile and gap vector and recommends relevant internships, scholarships, hackathons, and competitions. It integrates with public data sources including the Internshala API, Unstop, AICTE Portal, and SWAYAM-NPTEL. Recommendations are filtered by skill relevance, location preference, and application deadline proximity, then ranked by an estimated fit score.</w:t>
      </w:r>
    </w:p>
    <w:p>
      <w:pPr>
        <w:spacing w:after="120" w:before="0"/>
        <w:jc w:val="both"/>
      </w:pPr>
      <w:r>
        <w:rPr>
          <w:rFonts w:ascii="Times New Roman" w:cs="Times New Roman" w:eastAsia="Times New Roman" w:hAnsi="Times New Roman"/>
          <w:b/>
          <w:bCs/>
          <w:i w:val="false"/>
          <w:iCs w:val="false"/>
          <w:caps w:val="false"/>
          <w:color w:val="000000"/>
          <w:sz w:val="20"/>
          <w:szCs w:val="20"/>
        </w:rPr>
        <w:t xml:space="preserve">Agent 5 — Civic Issue Agent (CIA): </w:t>
      </w:r>
      <w:r>
        <w:rPr>
          <w:rFonts w:ascii="Times New Roman" w:cs="Times New Roman" w:eastAsia="Times New Roman" w:hAnsi="Times New Roman"/>
          <w:b w:val="false"/>
          <w:bCs w:val="false"/>
          <w:i w:val="false"/>
          <w:iCs w:val="false"/>
          <w:caps w:val="false"/>
          <w:color w:val="000000"/>
          <w:sz w:val="20"/>
          <w:szCs w:val="20"/>
        </w:rPr>
        <w:t xml:space="preserve">The CIA processes natural language grievance submissions. It employs a pre-trained multilingual BERT model (MuRIL for Indian languages) fine-tuned on a labelled corpus of CPGRAMS-style complaints. The CIA outputs a grievance category from a 30-class taxonomy, a severity score (low/medium/high/critical) based on linguistic urgency signals, and a structured JSON representation of the complaint.</w:t>
      </w:r>
    </w:p>
    <w:p>
      <w:pPr>
        <w:spacing w:after="120" w:before="0"/>
        <w:jc w:val="both"/>
      </w:pPr>
      <w:r>
        <w:rPr>
          <w:rFonts w:ascii="Times New Roman" w:cs="Times New Roman" w:eastAsia="Times New Roman" w:hAnsi="Times New Roman"/>
          <w:b/>
          <w:bCs/>
          <w:i w:val="false"/>
          <w:iCs w:val="false"/>
          <w:caps w:val="false"/>
          <w:color w:val="000000"/>
          <w:sz w:val="20"/>
          <w:szCs w:val="20"/>
        </w:rPr>
        <w:t xml:space="preserve">Agent 6 — Department Routing Agent (DRA): </w:t>
      </w:r>
      <w:r>
        <w:rPr>
          <w:rFonts w:ascii="Times New Roman" w:cs="Times New Roman" w:eastAsia="Times New Roman" w:hAnsi="Times New Roman"/>
          <w:b w:val="false"/>
          <w:bCs w:val="false"/>
          <w:i w:val="false"/>
          <w:iCs w:val="false"/>
          <w:caps w:val="false"/>
          <w:color w:val="000000"/>
          <w:sz w:val="20"/>
          <w:szCs w:val="20"/>
        </w:rPr>
        <w:t xml:space="preserve">The DRA receives structured grievance data from the CIA and determines the responsible administrative department using a two-stage approach: (a) a fine-tuned text classifier for primary department assignment; and (b) a rule-based secondary filter applying India's administrative responsibility matrix (e.g., roads → PWD; water → Jal Board; electricity → DISCOM). Rules take precedence over ML output in cases of conflict to ensure administrative accountability.</w:t>
      </w:r>
    </w:p>
    <w:p>
      <w:pPr>
        <w:spacing w:after="120" w:before="0"/>
        <w:jc w:val="both"/>
      </w:pPr>
      <w:r>
        <w:rPr>
          <w:rFonts w:ascii="Times New Roman" w:cs="Times New Roman" w:eastAsia="Times New Roman" w:hAnsi="Times New Roman"/>
          <w:b/>
          <w:bCs/>
          <w:i w:val="false"/>
          <w:iCs w:val="false"/>
          <w:caps w:val="false"/>
          <w:color w:val="000000"/>
          <w:sz w:val="20"/>
          <w:szCs w:val="20"/>
        </w:rPr>
        <w:t xml:space="preserve">Agent 7 — Issue Tracking Agent (ITA): </w:t>
      </w:r>
      <w:r>
        <w:rPr>
          <w:rFonts w:ascii="Times New Roman" w:cs="Times New Roman" w:eastAsia="Times New Roman" w:hAnsi="Times New Roman"/>
          <w:b w:val="false"/>
          <w:bCs w:val="false"/>
          <w:i w:val="false"/>
          <w:iCs w:val="false"/>
          <w:caps w:val="false"/>
          <w:color w:val="000000"/>
          <w:sz w:val="20"/>
          <w:szCs w:val="20"/>
        </w:rPr>
        <w:t xml:space="preserve">The ITA maintains a finite-state machine for each submitted grievance with states: {Submitted, Routed, Under Review, Resolved, Escalated, Closed}. It monitors time-in-state and triggers escalation to higher administrative authorities if resolution is not achieved within configurable SLA windows. Citizens receive automated status updates through the platform interface.</w:t>
      </w:r>
    </w:p>
    <w:p>
      <w:pPr>
        <w:spacing w:after="120" w:before="0"/>
        <w:jc w:val="both"/>
      </w:pPr>
      <w:r>
        <w:rPr>
          <w:rFonts w:ascii="Times New Roman" w:cs="Times New Roman" w:eastAsia="Times New Roman" w:hAnsi="Times New Roman"/>
          <w:b/>
          <w:bCs/>
          <w:i w:val="false"/>
          <w:iCs w:val="false"/>
          <w:caps w:val="false"/>
          <w:color w:val="000000"/>
          <w:sz w:val="20"/>
          <w:szCs w:val="20"/>
        </w:rPr>
        <w:t xml:space="preserve">Agent 8 — Analytics Agent (AA): </w:t>
      </w:r>
      <w:r>
        <w:rPr>
          <w:rFonts w:ascii="Times New Roman" w:cs="Times New Roman" w:eastAsia="Times New Roman" w:hAnsi="Times New Roman"/>
          <w:b w:val="false"/>
          <w:bCs w:val="false"/>
          <w:i w:val="false"/>
          <w:iCs w:val="false"/>
          <w:caps w:val="false"/>
          <w:color w:val="000000"/>
          <w:sz w:val="20"/>
          <w:szCs w:val="20"/>
        </w:rPr>
        <w:t xml:space="preserve">The AA operates asynchronously, processing aggregated anonymised data from both the career and civic domains to generate: youth career trend reports stratified by region and education level; civic issue heatmaps identifying high-complaint geographic zones; resolution performance reports for administrative use; and skill gap trend reports for educational policy input.</w:t>
      </w:r>
    </w:p>
    <w:p>
      <w:pPr>
        <w:spacing w:after="80" w:before="180"/>
        <w:jc w:val="both"/>
      </w:pPr>
      <w:r>
        <w:rPr>
          <w:rFonts w:ascii="Times New Roman" w:cs="Times New Roman" w:eastAsia="Times New Roman" w:hAnsi="Times New Roman"/>
          <w:b/>
          <w:bCs/>
          <w:i/>
          <w:iCs/>
          <w:caps w:val="false"/>
          <w:color w:val="000000"/>
          <w:sz w:val="20"/>
          <w:szCs w:val="20"/>
        </w:rPr>
        <w:t xml:space="preserve">C. Orchestration Layer</w:t>
      </w:r>
    </w:p>
    <w:p>
      <w:pPr>
        <w:spacing w:after="120" w:before="0"/>
        <w:jc w:val="both"/>
      </w:pPr>
      <w:r>
        <w:rPr>
          <w:rFonts w:ascii="Times New Roman" w:cs="Times New Roman" w:eastAsia="Times New Roman" w:hAnsi="Times New Roman"/>
          <w:b w:val="false"/>
          <w:bCs w:val="false"/>
          <w:i w:val="false"/>
          <w:iCs w:val="false"/>
          <w:caps w:val="false"/>
          <w:color w:val="000000"/>
          <w:sz w:val="20"/>
          <w:szCs w:val="20"/>
        </w:rPr>
        <w:t xml:space="preserve">A central Orchestration Layer (OL) governs agent activation, task delegation, and inter-agent message passing using an event-driven publish-subscribe protocol. On session initiation, the OL classifies user intent (career | civic | both) and activates the relevant agent sub-pipeline. Cross-domain events—for example, a civic complaint about poor internet infrastructure triggering the CGA to note digital skill development constraints—are handled through configurable event-routing rules stored in the SKS.</w:t>
      </w:r>
    </w:p>
    <w:p>
      <w:pPr>
        <w:spacing w:after="120" w:before="280"/>
        <w:jc w:val="both"/>
      </w:pPr>
      <w:r>
        <w:rPr>
          <w:rFonts w:ascii="Times New Roman" w:cs="Times New Roman" w:eastAsia="Times New Roman" w:hAnsi="Times New Roman"/>
          <w:b/>
          <w:bCs/>
          <w:i w:val="false"/>
          <w:iCs w:val="false"/>
          <w:caps w:val="false"/>
          <w:color w:val="000000"/>
          <w:sz w:val="22"/>
          <w:szCs w:val="22"/>
        </w:rPr>
        <w:t xml:space="preserve">V. MULTI-AGENT ARCHITECTURE</w:t>
      </w:r>
    </w:p>
    <w:p>
      <w:pPr>
        <w:spacing w:after="80" w:before="180"/>
        <w:jc w:val="both"/>
      </w:pPr>
      <w:r>
        <w:rPr>
          <w:rFonts w:ascii="Times New Roman" w:cs="Times New Roman" w:eastAsia="Times New Roman" w:hAnsi="Times New Roman"/>
          <w:b/>
          <w:bCs/>
          <w:i/>
          <w:iCs/>
          <w:caps w:val="false"/>
          <w:color w:val="000000"/>
          <w:sz w:val="20"/>
          <w:szCs w:val="20"/>
        </w:rPr>
        <w:t xml:space="preserve">A. System Architecture Diagram</w:t>
      </w:r>
    </w:p>
    <w:p>
      <w:pPr>
        <w:spacing w:after="60" w:before="0"/>
        <w:jc w:val="both"/>
      </w:pPr>
      <w:r>
        <w:rPr>
          <w:rFonts w:ascii="Times New Roman" w:cs="Times New Roman" w:eastAsia="Times New Roman" w:hAnsi="Times New Roman"/>
          <w:b w:val="false"/>
          <w:bCs w:val="false"/>
          <w:i w:val="false"/>
          <w:iCs w:val="false"/>
          <w:cap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E3A5F" w:val="clear"/>
            <w:tcMar>
              <w:top w:type="dxa" w:w="80"/>
              <w:left w:type="dxa" w:w="160"/>
              <w:bottom w:type="dxa" w:w="80"/>
              <w:right w:type="dxa" w:w="160"/>
            </w:tcMar>
          </w:tcPr>
          <w:p>
            <w:pPr>
              <w:spacing w:after="0" w:before="0"/>
            </w:pPr>
            <w:r>
              <w:rPr>
                <w:rFonts w:ascii="Times New Roman" w:cs="Times New Roman" w:eastAsia="Times New Roman" w:hAnsi="Times New Roman"/>
                <w:b/>
                <w:bCs/>
                <w:color w:val="FFFFFF"/>
                <w:sz w:val="19"/>
                <w:szCs w:val="19"/>
              </w:rPr>
              <w:t xml:space="preserve">Figure 1: YUVA-AI System Architecture</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YUVA-AI PLATFORM                           </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                     +-----------------------+</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  USER LAYER  |                     |    ADMIN PORTAL       |</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 (Mobile/Web) |                     |   (Government/Inst.)  |</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                     +-----------+-----------+</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                                         |            </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+------v-----------------------------------------v----------+</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              ORCHESTRATION LAYER (OL)                     |</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     Intent Classifier | Task Router | Session Manager     |</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                                           |          </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CAREER DOMAIN                           CIVIC DOMAIN       </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                                           |          </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+------v------+ +----------+       +----------+ +-v---------+</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 User Profile| | Career   |       | Civic    | | Dept.     |</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 Agent  (A1) | | Guidance |       | Issue    | | Routing   |</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 | Agent(A2)|       | Agent(A5)| | Agent(A6) |</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        +----+-----+       +----+-----+ +-----+-----+</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+------v------+ +----v-----+       +----v-----+ +-----v-----+</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 Skill Gap   | |Opportunity       | Tracking | | Analytics |</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 Agent  (A3) | | Agent(A4)|       | Agent(A7)| | Agent(A8) |</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 +----------+       +----------+ +-----------+</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  </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          SHARED KNOWLEDGE STORE (SKS)                   |  </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  Profiles | CKG | Grievance DB | Opportunity Index      |  </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  </w:t>
            </w:r>
          </w:p>
        </w:tc>
      </w:tr>
    </w:tbl>
    <w:p>
      <w:pPr>
        <w:spacing w:after="100" w:before="0"/>
        <w:jc w:val="both"/>
      </w:pPr>
      <w:r>
        <w:rPr>
          <w:rFonts w:ascii="Times New Roman" w:cs="Times New Roman" w:eastAsia="Times New Roman" w:hAnsi="Times New Roman"/>
          <w:b w:val="false"/>
          <w:bCs w:val="false"/>
          <w:i w:val="false"/>
          <w:iCs w:val="false"/>
          <w:caps w:val="false"/>
          <w:color w:val="000000"/>
          <w:sz w:val="20"/>
          <w:szCs w:val="20"/>
        </w:rPr>
        <w:t xml:space="preserve"/>
      </w:r>
    </w:p>
    <w:p>
      <w:pPr>
        <w:spacing w:after="80" w:before="180"/>
        <w:jc w:val="both"/>
      </w:pPr>
      <w:r>
        <w:rPr>
          <w:rFonts w:ascii="Times New Roman" w:cs="Times New Roman" w:eastAsia="Times New Roman" w:hAnsi="Times New Roman"/>
          <w:b/>
          <w:bCs/>
          <w:i/>
          <w:iCs/>
          <w:caps w:val="false"/>
          <w:color w:val="000000"/>
          <w:sz w:val="20"/>
          <w:szCs w:val="20"/>
        </w:rPr>
        <w:t xml:space="preserve">B. Agent Communication Protocol</w:t>
      </w:r>
    </w:p>
    <w:p>
      <w:pPr>
        <w:spacing w:after="120" w:before="0"/>
        <w:jc w:val="both"/>
      </w:pPr>
      <w:r>
        <w:rPr>
          <w:rFonts w:ascii="Times New Roman" w:cs="Times New Roman" w:eastAsia="Times New Roman" w:hAnsi="Times New Roman"/>
          <w:b w:val="false"/>
          <w:bCs w:val="false"/>
          <w:i w:val="false"/>
          <w:iCs w:val="false"/>
          <w:caps w:val="false"/>
          <w:color w:val="000000"/>
          <w:sz w:val="20"/>
          <w:szCs w:val="20"/>
        </w:rPr>
        <w:t xml:space="preserve">Agents communicate through a standardised Agent Communication Language (ACL) message format carrying: a unique message_id, sender and receiver agent identifiers, a performative tag (INFORM | REQUEST | PROPOSE | CONFIRM), a typed payload, ISO 8601 timestamp, and a session_id for state continuity. The SKS serves as a blackboard shared memory structure, allowing agents to read and write state without tight coupling. This design supports independent scaling and fault isolation.</w:t>
      </w:r>
    </w:p>
    <w:p>
      <w:pPr>
        <w:spacing w:after="80" w:before="180"/>
        <w:jc w:val="both"/>
      </w:pPr>
      <w:r>
        <w:rPr>
          <w:rFonts w:ascii="Times New Roman" w:cs="Times New Roman" w:eastAsia="Times New Roman" w:hAnsi="Times New Roman"/>
          <w:b/>
          <w:bCs/>
          <w:i/>
          <w:iCs/>
          <w:caps w:val="false"/>
          <w:color w:val="000000"/>
          <w:sz w:val="20"/>
          <w:szCs w:val="20"/>
        </w:rPr>
        <w:t xml:space="preserve">C. Data Flow</w:t>
      </w:r>
    </w:p>
    <w:p>
      <w:pPr>
        <w:spacing w:after="120" w:before="0"/>
        <w:jc w:val="both"/>
      </w:pPr>
      <w:r>
        <w:rPr>
          <w:rFonts w:ascii="Times New Roman" w:cs="Times New Roman" w:eastAsia="Times New Roman" w:hAnsi="Times New Roman"/>
          <w:b/>
          <w:bCs/>
          <w:i w:val="false"/>
          <w:iCs w:val="false"/>
          <w:caps w:val="false"/>
          <w:color w:val="000000"/>
          <w:sz w:val="20"/>
          <w:szCs w:val="20"/>
        </w:rPr>
        <w:t xml:space="preserve">Career Flow: </w:t>
      </w:r>
      <w:r>
        <w:rPr>
          <w:rFonts w:ascii="Times New Roman" w:cs="Times New Roman" w:eastAsia="Times New Roman" w:hAnsi="Times New Roman"/>
          <w:b w:val="false"/>
          <w:bCs w:val="false"/>
          <w:i w:val="false"/>
          <w:iCs w:val="false"/>
          <w:caps w:val="false"/>
          <w:color w:val="000000"/>
          <w:sz w:val="20"/>
          <w:szCs w:val="20"/>
        </w:rPr>
        <w:t xml:space="preserve">UPA → (profile vector) → OL → CGA → (ranked careers) → SGA → (gap vector + roadmap) → OA → (opportunity list) → User Interface.</w:t>
      </w:r>
    </w:p>
    <w:p>
      <w:pPr>
        <w:spacing w:after="120" w:before="0"/>
        <w:jc w:val="both"/>
      </w:pPr>
      <w:r>
        <w:rPr>
          <w:rFonts w:ascii="Times New Roman" w:cs="Times New Roman" w:eastAsia="Times New Roman" w:hAnsi="Times New Roman"/>
          <w:b/>
          <w:bCs/>
          <w:i w:val="false"/>
          <w:iCs w:val="false"/>
          <w:caps w:val="false"/>
          <w:color w:val="000000"/>
          <w:sz w:val="20"/>
          <w:szCs w:val="20"/>
        </w:rPr>
        <w:t xml:space="preserve">Civic Flow: </w:t>
      </w:r>
      <w:r>
        <w:rPr>
          <w:rFonts w:ascii="Times New Roman" w:cs="Times New Roman" w:eastAsia="Times New Roman" w:hAnsi="Times New Roman"/>
          <w:b w:val="false"/>
          <w:bCs w:val="false"/>
          <w:i w:val="false"/>
          <w:iCs w:val="false"/>
          <w:caps w:val="false"/>
          <w:color w:val="000000"/>
          <w:sz w:val="20"/>
          <w:szCs w:val="20"/>
        </w:rPr>
        <w:t xml:space="preserve">User Input → CIA → (classified grievance + severity) → DRA → (routing decision) → Government Portal API → ITA → (status updates) → User Interface.</w:t>
      </w:r>
    </w:p>
    <w:p>
      <w:pPr>
        <w:spacing w:after="120" w:before="0"/>
        <w:jc w:val="both"/>
      </w:pPr>
      <w:r>
        <w:rPr>
          <w:rFonts w:ascii="Times New Roman" w:cs="Times New Roman" w:eastAsia="Times New Roman" w:hAnsi="Times New Roman"/>
          <w:b/>
          <w:bCs/>
          <w:i w:val="false"/>
          <w:iCs w:val="false"/>
          <w:caps w:val="false"/>
          <w:color w:val="000000"/>
          <w:sz w:val="20"/>
          <w:szCs w:val="20"/>
        </w:rPr>
        <w:t xml:space="preserve">Cross-Domain Flow: </w:t>
      </w:r>
      <w:r>
        <w:rPr>
          <w:rFonts w:ascii="Times New Roman" w:cs="Times New Roman" w:eastAsia="Times New Roman" w:hAnsi="Times New Roman"/>
          <w:b w:val="false"/>
          <w:bCs w:val="false"/>
          <w:i w:val="false"/>
          <w:iCs w:val="false"/>
          <w:caps w:val="false"/>
          <w:color w:val="000000"/>
          <w:sz w:val="20"/>
          <w:szCs w:val="20"/>
        </w:rPr>
        <w:t xml:space="preserve">The AA continuously reads from both pipelines, generating trend insights that feed back into the CGA via trend-score reweighting, and into policy dashboards accessible to institutional administrators.</w:t>
      </w:r>
    </w:p>
    <w:p>
      <w:pPr>
        <w:spacing w:after="120" w:before="280"/>
        <w:jc w:val="both"/>
      </w:pPr>
      <w:r>
        <w:rPr>
          <w:rFonts w:ascii="Times New Roman" w:cs="Times New Roman" w:eastAsia="Times New Roman" w:hAnsi="Times New Roman"/>
          <w:b/>
          <w:bCs/>
          <w:i w:val="false"/>
          <w:iCs w:val="false"/>
          <w:caps w:val="false"/>
          <w:color w:val="000000"/>
          <w:sz w:val="22"/>
          <w:szCs w:val="22"/>
        </w:rPr>
        <w:t xml:space="preserve">VI. PROPOSED ALGORITHMS</w:t>
      </w:r>
    </w:p>
    <w:p>
      <w:pPr>
        <w:spacing w:after="80" w:before="180"/>
        <w:jc w:val="both"/>
      </w:pPr>
      <w:r>
        <w:rPr>
          <w:rFonts w:ascii="Times New Roman" w:cs="Times New Roman" w:eastAsia="Times New Roman" w:hAnsi="Times New Roman"/>
          <w:b/>
          <w:bCs/>
          <w:i/>
          <w:iCs/>
          <w:caps w:val="false"/>
          <w:color w:val="000000"/>
          <w:sz w:val="20"/>
          <w:szCs w:val="20"/>
        </w:rPr>
        <w:t xml:space="preserve">A. Algorithm 1: Hybrid Career Recommendation</w:t>
      </w:r>
    </w:p>
    <w:p>
      <w:pPr>
        <w:spacing w:after="60" w:before="0"/>
        <w:jc w:val="both"/>
      </w:pPr>
      <w:r>
        <w:rPr>
          <w:rFonts w:ascii="Times New Roman" w:cs="Times New Roman" w:eastAsia="Times New Roman" w:hAnsi="Times New Roman"/>
          <w:b w:val="false"/>
          <w:bCs w:val="false"/>
          <w:i w:val="false"/>
          <w:iCs w:val="false"/>
          <w:cap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E3A5F" w:val="clear"/>
            <w:tcMar>
              <w:top w:type="dxa" w:w="80"/>
              <w:left w:type="dxa" w:w="160"/>
              <w:bottom w:type="dxa" w:w="80"/>
              <w:right w:type="dxa" w:w="160"/>
            </w:tcMar>
          </w:tcPr>
          <w:p>
            <w:pPr>
              <w:spacing w:after="0" w:before="0"/>
            </w:pPr>
            <w:r>
              <w:rPr>
                <w:rFonts w:ascii="Times New Roman" w:cs="Times New Roman" w:eastAsia="Times New Roman" w:hAnsi="Times New Roman"/>
                <w:b/>
                <w:bCs/>
                <w:color w:val="FFFFFF"/>
                <w:sz w:val="19"/>
                <w:szCs w:val="19"/>
              </w:rPr>
              <w:t xml:space="preserve">Algorithm 1: Hybrid Career Recommendation (HCR)</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INPUT : User profile vector p = [e, s, i, g, l]</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Career ontology C = {c1,...,cm}; interaction matrix M ∈ R^(n×m)</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Trend score vector T ∈ R^m</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Hyperparameters α (content), β (CF), γ (trend)  [α+β+γ=1]</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OUTPUT: Ranked list R of top-k career recommendations</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STEP 1  u_emb ← SentenceTransformer.encode(s ∪ i)</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STEP 2  FOR each cj ∈ C:</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c_emb[j] ← SentenceTransformer.encode(cj.description)</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content_score[j] ← cosine_sim(u_emb, c_emb[j])</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STEP 3  IF user has interaction history:</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cf_score ← MatrixFactorisation.predict(user_id, C)</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ELSE (cold start):</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similar_users ← KNN(p, M, k=20)</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cf_score ← mean(M[similar_users])</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STEP 4  trend_score[j] ← T[j]  // from external labour-market index</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STEP 5  FOR each cj ∈ C:</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hybrid[j] ← α·content_score[j] + β·cf_score[j] + γ·T[j]</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STEP 6  Filter careers where regional_demand(cj, l) &lt; threshold</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STEP 7  RETURN R ← top_k(C, hybrid)</w:t>
            </w:r>
          </w:p>
        </w:tc>
      </w:tr>
    </w:tbl>
    <w:p>
      <w:pPr>
        <w:spacing w:after="100" w:before="0"/>
        <w:jc w:val="both"/>
      </w:pPr>
      <w:r>
        <w:rPr>
          <w:rFonts w:ascii="Times New Roman" w:cs="Times New Roman" w:eastAsia="Times New Roman" w:hAnsi="Times New Roman"/>
          <w:b w:val="false"/>
          <w:bCs w:val="false"/>
          <w:i w:val="false"/>
          <w:iCs w:val="false"/>
          <w:caps w:val="false"/>
          <w:color w:val="000000"/>
          <w:sz w:val="20"/>
          <w:szCs w:val="20"/>
        </w:rPr>
        <w:t xml:space="preserve"/>
      </w:r>
    </w:p>
    <w:p>
      <w:pPr>
        <w:spacing w:after="80" w:before="180"/>
        <w:jc w:val="both"/>
      </w:pPr>
      <w:r>
        <w:rPr>
          <w:rFonts w:ascii="Times New Roman" w:cs="Times New Roman" w:eastAsia="Times New Roman" w:hAnsi="Times New Roman"/>
          <w:b/>
          <w:bCs/>
          <w:i/>
          <w:iCs/>
          <w:caps w:val="false"/>
          <w:color w:val="000000"/>
          <w:sz w:val="20"/>
          <w:szCs w:val="20"/>
        </w:rPr>
        <w:t xml:space="preserve">B. Algorithm 2: Ontology-Driven Skill Gap Analysis</w:t>
      </w:r>
    </w:p>
    <w:p>
      <w:pPr>
        <w:spacing w:after="60" w:before="0"/>
        <w:jc w:val="both"/>
      </w:pPr>
      <w:r>
        <w:rPr>
          <w:rFonts w:ascii="Times New Roman" w:cs="Times New Roman" w:eastAsia="Times New Roman" w:hAnsi="Times New Roman"/>
          <w:b w:val="false"/>
          <w:bCs w:val="false"/>
          <w:i w:val="false"/>
          <w:iCs w:val="false"/>
          <w:cap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E3A5F" w:val="clear"/>
            <w:tcMar>
              <w:top w:type="dxa" w:w="80"/>
              <w:left w:type="dxa" w:w="160"/>
              <w:bottom w:type="dxa" w:w="80"/>
              <w:right w:type="dxa" w:w="160"/>
            </w:tcMar>
          </w:tcPr>
          <w:p>
            <w:pPr>
              <w:spacing w:after="0" w:before="0"/>
            </w:pPr>
            <w:r>
              <w:rPr>
                <w:rFonts w:ascii="Times New Roman" w:cs="Times New Roman" w:eastAsia="Times New Roman" w:hAnsi="Times New Roman"/>
                <w:b/>
                <w:bCs/>
                <w:color w:val="FFFFFF"/>
                <w:sz w:val="19"/>
                <w:szCs w:val="19"/>
              </w:rPr>
              <w:t xml:space="preserve">Algorithm 2: Ontology-Driven Skill Gap Analysis (ODSG)</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INPUT : User skill set S_user; target career cj</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Competency Knowledge Graph CKG (OWL ontology)</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Proficiency scale P: skill → {beginner, intermediate, advanced}</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OUTPUT: Gap vector Δ; ordered learning roadmap L</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STEP 1  S_req ← CKG.SPARQL("SELECT skills WHERE role=cj</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AND importance ≥ θ")</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STEP 2  S_norm ← FuzzyMatcher.normalise(S_user, CKG.vocabulary)</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STEP 3  S_miss ← S_req \ S_norm</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S_upg  ← { s ∈ (S_req ∩ S_norm) | P(s,user) &lt; P(s,req) }</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Δ ← (S_miss, S_upg)</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STEP 4  G ← CKG.prerequisite_subgraph(S_miss ∪ S_upg)</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STEP 5  L_ord ← TopologicalSort(G)   // prerequisite-first order</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STEP 6  FOR each skill s ∈ L_ord:</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annotate(s, est_hours, free_resources, certifications)</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STEP 7  RETURN Δ, L ← L_ord</w:t>
            </w:r>
          </w:p>
        </w:tc>
      </w:tr>
    </w:tbl>
    <w:p>
      <w:pPr>
        <w:spacing w:after="100" w:before="0"/>
        <w:jc w:val="both"/>
      </w:pPr>
      <w:r>
        <w:rPr>
          <w:rFonts w:ascii="Times New Roman" w:cs="Times New Roman" w:eastAsia="Times New Roman" w:hAnsi="Times New Roman"/>
          <w:b w:val="false"/>
          <w:bCs w:val="false"/>
          <w:i w:val="false"/>
          <w:iCs w:val="false"/>
          <w:caps w:val="false"/>
          <w:color w:val="000000"/>
          <w:sz w:val="20"/>
          <w:szCs w:val="20"/>
        </w:rPr>
        <w:t xml:space="preserve"/>
      </w:r>
    </w:p>
    <w:p>
      <w:pPr>
        <w:spacing w:after="80" w:before="180"/>
        <w:jc w:val="both"/>
      </w:pPr>
      <w:r>
        <w:rPr>
          <w:rFonts w:ascii="Times New Roman" w:cs="Times New Roman" w:eastAsia="Times New Roman" w:hAnsi="Times New Roman"/>
          <w:b/>
          <w:bCs/>
          <w:i/>
          <w:iCs/>
          <w:caps w:val="false"/>
          <w:color w:val="000000"/>
          <w:sz w:val="20"/>
          <w:szCs w:val="20"/>
        </w:rPr>
        <w:t xml:space="preserve">C. Algorithm 3: Multi-Stage Grievance Processing</w:t>
      </w:r>
    </w:p>
    <w:p>
      <w:pPr>
        <w:spacing w:after="60" w:before="0"/>
        <w:jc w:val="both"/>
      </w:pPr>
      <w:r>
        <w:rPr>
          <w:rFonts w:ascii="Times New Roman" w:cs="Times New Roman" w:eastAsia="Times New Roman" w:hAnsi="Times New Roman"/>
          <w:b w:val="false"/>
          <w:bCs w:val="false"/>
          <w:i w:val="false"/>
          <w:iCs w:val="false"/>
          <w:cap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E3A5F" w:val="clear"/>
            <w:tcMar>
              <w:top w:type="dxa" w:w="80"/>
              <w:left w:type="dxa" w:w="160"/>
              <w:bottom w:type="dxa" w:w="80"/>
              <w:right w:type="dxa" w:w="160"/>
            </w:tcMar>
          </w:tcPr>
          <w:p>
            <w:pPr>
              <w:spacing w:after="0" w:before="0"/>
            </w:pPr>
            <w:r>
              <w:rPr>
                <w:rFonts w:ascii="Times New Roman" w:cs="Times New Roman" w:eastAsia="Times New Roman" w:hAnsi="Times New Roman"/>
                <w:b/>
                <w:bCs/>
                <w:color w:val="FFFFFF"/>
                <w:sz w:val="19"/>
                <w:szCs w:val="19"/>
              </w:rPr>
              <w:t xml:space="preserve">Algorithm 3: Multi-Stage Grievance Processing (MSGP)</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INPUT : Raw grievance text t (multilingual)</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Fine-tuned mBERT/MuRIL model M_cls</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Department Responsibility Matrix DRM</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Routing confidence threshold θ_r</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OUTPUT: (category, department, severity, confidence, complaint_json)</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STAGE 1 — PRE-PROCESSING</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STEP 1  lang ← detect_language(t)</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STEP 2  IF lang ≠ English: t_en ← MarianMT.translate(t)</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STEP 3  t_clean ← remove_PII(t_en); extract_entities(loc, date, infra)</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STAGE 2 — CLASSIFICATION</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STEP 4  tokens ← M_cls.tokenise(t_clean)</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STEP 5  cat_probs ← softmax(M_cls.forward(tokens))</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cat ← argmax(cat_probs)</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STEP 6  sev ← HIGH   IF urgency_keyword ∈ t</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MEDIUM  IF recurrence_detected(t)</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LOW     OTHERWISE</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STAGE 3 — ROUTING</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STEP 7  dept_probs ← M_cls.routing_head(tokens)</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conf ← max(dept_probs)</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STEP 8  IF conf &lt; θ_r:</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dept ← DRM.lookup(cat, loc)   // rule-based override</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ELSE: dept ← argmax(dept_probs)</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STEP 9  complaint_json ← {id, cat, dept, sev, conf, entities, ts}</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STEP 10 RETURN (cat, dept, sev, conf, complaint_json)</w:t>
            </w:r>
          </w:p>
        </w:tc>
      </w:tr>
    </w:tbl>
    <w:p>
      <w:pPr>
        <w:spacing w:after="100" w:before="0"/>
        <w:jc w:val="both"/>
      </w:pPr>
      <w:r>
        <w:rPr>
          <w:rFonts w:ascii="Times New Roman" w:cs="Times New Roman" w:eastAsia="Times New Roman" w:hAnsi="Times New Roman"/>
          <w:b w:val="false"/>
          <w:bCs w:val="false"/>
          <w:i w:val="false"/>
          <w:iCs w:val="false"/>
          <w:caps w:val="false"/>
          <w:color w:val="000000"/>
          <w:sz w:val="20"/>
          <w:szCs w:val="20"/>
        </w:rPr>
        <w:t xml:space="preserve"/>
      </w:r>
    </w:p>
    <w:p>
      <w:pPr>
        <w:spacing w:after="80" w:before="180"/>
        <w:jc w:val="both"/>
      </w:pPr>
      <w:r>
        <w:rPr>
          <w:rFonts w:ascii="Times New Roman" w:cs="Times New Roman" w:eastAsia="Times New Roman" w:hAnsi="Times New Roman"/>
          <w:b/>
          <w:bCs/>
          <w:i/>
          <w:iCs/>
          <w:caps w:val="false"/>
          <w:color w:val="000000"/>
          <w:sz w:val="20"/>
          <w:szCs w:val="20"/>
        </w:rPr>
        <w:t xml:space="preserve">D. Algorithm 4: SLA-Based Escalation</w:t>
      </w:r>
    </w:p>
    <w:p>
      <w:pPr>
        <w:spacing w:after="60" w:before="0"/>
        <w:jc w:val="both"/>
      </w:pPr>
      <w:r>
        <w:rPr>
          <w:rFonts w:ascii="Times New Roman" w:cs="Times New Roman" w:eastAsia="Times New Roman" w:hAnsi="Times New Roman"/>
          <w:b w:val="false"/>
          <w:bCs w:val="false"/>
          <w:i w:val="false"/>
          <w:iCs w:val="false"/>
          <w:cap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1E3A5F" w:val="clear"/>
            <w:tcMar>
              <w:top w:type="dxa" w:w="80"/>
              <w:left w:type="dxa" w:w="160"/>
              <w:bottom w:type="dxa" w:w="80"/>
              <w:right w:type="dxa" w:w="160"/>
            </w:tcMar>
          </w:tcPr>
          <w:p>
            <w:pPr>
              <w:spacing w:after="0" w:before="0"/>
            </w:pPr>
            <w:r>
              <w:rPr>
                <w:rFonts w:ascii="Times New Roman" w:cs="Times New Roman" w:eastAsia="Times New Roman" w:hAnsi="Times New Roman"/>
                <w:b/>
                <w:bCs/>
                <w:color w:val="FFFFFF"/>
                <w:sz w:val="19"/>
                <w:szCs w:val="19"/>
              </w:rPr>
              <w:t xml:space="preserve">Algorithm 4: SLA-Based Grievance Escalation (SBE)</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INPUT : Grievance G with state s, submission time t0</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SLA matrix SLA[dept][severity] = max_days</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Escalation hierarchy H[dept] = [L1, L2, L3]</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Current time t_now</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OUTPUT: Updated grievance state</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STEP 1  IF s ∈ {RESOLVED, CLOSED}: RETURN  // no action</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STEP 2  elapsed ← t_now - t0  (days)</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STEP 3  sla_max ← SLA[G.dept][G.severity]</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STEP 4  IF elapsed &gt; sla_max AND s ≠ ESCALATED:</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lvl ← min(floor(elapsed / sla_max), len(H)-1)</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escalate(G, H[G.dept][lvl])</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notify_citizen(G, escalation_level=lvl)</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            G.state ← ESCALATED</w:t>
            </w:r>
          </w:p>
        </w:tc>
      </w:tr>
      <w:tr>
        <w:tc>
          <w:tcPr>
            <w:tcW w:type="dxa" w:w="9360"/>
            <w:tcBorders>
              <w:top w:val="single" w:color="888888" w:sz="1"/>
              <w:left w:val="single" w:color="888888" w:sz="1"/>
              <w:bottom w:val="single" w:color="888888" w:sz="1"/>
              <w:right w:val="single" w:color="888888" w:sz="1"/>
            </w:tcBorders>
            <w:shd w:fill="F8F9FA" w:val="clear"/>
            <w:tcMar>
              <w:top w:type="dxa" w:w="30"/>
              <w:left w:type="dxa" w:w="160"/>
              <w:bottom w:type="dxa" w:w="30"/>
              <w:right w:type="dxa" w:w="160"/>
            </w:tcMar>
          </w:tcPr>
          <w:p>
            <w:pPr>
              <w:spacing w:after="0" w:before="0"/>
            </w:pPr>
            <w:r>
              <w:rPr>
                <w:rFonts w:ascii="Courier New" w:cs="Courier New" w:eastAsia="Courier New" w:hAnsi="Courier New"/>
                <w:b w:val="false"/>
                <w:bCs w:val="false"/>
                <w:color w:val="1A1A1A"/>
                <w:sz w:val="16"/>
                <w:szCs w:val="16"/>
              </w:rPr>
              <w:t xml:space="preserve">STEP 5  RETURN G.state</w:t>
            </w:r>
          </w:p>
        </w:tc>
      </w:tr>
    </w:tbl>
    <w:p>
      <w:pPr>
        <w:spacing w:after="120" w:before="0"/>
        <w:jc w:val="both"/>
      </w:pPr>
      <w:r>
        <w:rPr>
          <w:rFonts w:ascii="Times New Roman" w:cs="Times New Roman" w:eastAsia="Times New Roman" w:hAnsi="Times New Roman"/>
          <w:b w:val="false"/>
          <w:bCs w:val="false"/>
          <w:i w:val="false"/>
          <w:iCs w:val="false"/>
          <w:caps w:val="false"/>
          <w:color w:val="000000"/>
          <w:sz w:val="20"/>
          <w:szCs w:val="20"/>
        </w:rPr>
        <w:t xml:space="preserve"/>
      </w:r>
    </w:p>
    <w:p>
      <w:pPr>
        <w:spacing w:after="120" w:before="280"/>
        <w:jc w:val="both"/>
      </w:pPr>
      <w:r>
        <w:rPr>
          <w:rFonts w:ascii="Times New Roman" w:cs="Times New Roman" w:eastAsia="Times New Roman" w:hAnsi="Times New Roman"/>
          <w:b/>
          <w:bCs/>
          <w:i w:val="false"/>
          <w:iCs w:val="false"/>
          <w:caps w:val="false"/>
          <w:color w:val="000000"/>
          <w:sz w:val="22"/>
          <w:szCs w:val="22"/>
        </w:rPr>
        <w:t xml:space="preserve">VII. EXPERIMENTAL DESIGN AND EVALUATION FRAMEWORK</w:t>
      </w:r>
    </w:p>
    <w:p>
      <w:pPr>
        <w:spacing w:after="80" w:before="180"/>
        <w:jc w:val="both"/>
      </w:pPr>
      <w:r>
        <w:rPr>
          <w:rFonts w:ascii="Times New Roman" w:cs="Times New Roman" w:eastAsia="Times New Roman" w:hAnsi="Times New Roman"/>
          <w:b/>
          <w:bCs/>
          <w:i/>
          <w:iCs/>
          <w:caps w:val="false"/>
          <w:color w:val="000000"/>
          <w:sz w:val="20"/>
          <w:szCs w:val="20"/>
        </w:rPr>
        <w:t xml:space="preserve">A. Datasets</w:t>
      </w:r>
    </w:p>
    <w:p>
      <w:pPr>
        <w:spacing w:after="120" w:before="0"/>
        <w:jc w:val="both"/>
      </w:pPr>
      <w:r>
        <w:rPr>
          <w:rFonts w:ascii="Times New Roman" w:cs="Times New Roman" w:eastAsia="Times New Roman" w:hAnsi="Times New Roman"/>
          <w:b w:val="false"/>
          <w:bCs w:val="false"/>
          <w:i w:val="false"/>
          <w:iCs w:val="false"/>
          <w:caps w:val="false"/>
          <w:color w:val="000000"/>
          <w:sz w:val="20"/>
          <w:szCs w:val="20"/>
        </w:rPr>
        <w:t xml:space="preserve">Since YUVA-AI is a proposed framework, the following evaluation design uses publicly available and constructible datasets.</w:t>
      </w:r>
    </w:p>
    <w:p>
      <w:pPr>
        <w:spacing w:after="120" w:before="0"/>
        <w:jc w:val="both"/>
      </w:pPr>
      <w:r>
        <w:rPr>
          <w:rFonts w:ascii="Times New Roman" w:cs="Times New Roman" w:eastAsia="Times New Roman" w:hAnsi="Times New Roman"/>
          <w:b/>
          <w:bCs/>
          <w:i w:val="false"/>
          <w:iCs w:val="false"/>
          <w:caps w:val="false"/>
          <w:color w:val="000000"/>
          <w:sz w:val="20"/>
          <w:szCs w:val="20"/>
        </w:rPr>
        <w:t xml:space="preserve">Career Recommendation: </w:t>
      </w:r>
      <w:r>
        <w:rPr>
          <w:rFonts w:ascii="Times New Roman" w:cs="Times New Roman" w:eastAsia="Times New Roman" w:hAnsi="Times New Roman"/>
          <w:b w:val="false"/>
          <w:bCs w:val="false"/>
          <w:i w:val="false"/>
          <w:iCs w:val="false"/>
          <w:caps w:val="false"/>
          <w:color w:val="000000"/>
          <w:sz w:val="20"/>
          <w:szCs w:val="20"/>
        </w:rPr>
        <w:t xml:space="preserve">O*NET 28.0 Database [24] (923 occupations, 277 descriptors each); LinkedIn Job Postings Dataset (Kaggle, 2024, ~500K postings for collaborative filtering); NSDC Qualifications Pack data (2,000+ skill-role mappings across 37 sectors); and 1,000 synthetic user profiles generated from distributions matching India's engineering student demographics.</w:t>
      </w:r>
    </w:p>
    <w:p>
      <w:pPr>
        <w:spacing w:after="120" w:before="0"/>
        <w:jc w:val="both"/>
      </w:pPr>
      <w:r>
        <w:rPr>
          <w:rFonts w:ascii="Times New Roman" w:cs="Times New Roman" w:eastAsia="Times New Roman" w:hAnsi="Times New Roman"/>
          <w:b/>
          <w:bCs/>
          <w:i w:val="false"/>
          <w:iCs w:val="false"/>
          <w:caps w:val="false"/>
          <w:color w:val="000000"/>
          <w:sz w:val="20"/>
          <w:szCs w:val="20"/>
        </w:rPr>
        <w:t xml:space="preserve">Skill Gap Analysis: </w:t>
      </w:r>
      <w:r>
        <w:rPr>
          <w:rFonts w:ascii="Times New Roman" w:cs="Times New Roman" w:eastAsia="Times New Roman" w:hAnsi="Times New Roman"/>
          <w:b w:val="false"/>
          <w:bCs w:val="false"/>
          <w:i w:val="false"/>
          <w:iCs w:val="false"/>
          <w:caps w:val="false"/>
          <w:color w:val="000000"/>
          <w:sz w:val="20"/>
          <w:szCs w:val="20"/>
        </w:rPr>
        <w:t xml:space="preserve">O*NET skill importance and proficiency-level ratings as ground truth for competency requirements; 500 anonymised student resume profiles annotated by domain experts.</w:t>
      </w:r>
    </w:p>
    <w:p>
      <w:pPr>
        <w:spacing w:after="120" w:before="0"/>
        <w:jc w:val="both"/>
      </w:pPr>
      <w:r>
        <w:rPr>
          <w:rFonts w:ascii="Times New Roman" w:cs="Times New Roman" w:eastAsia="Times New Roman" w:hAnsi="Times New Roman"/>
          <w:b/>
          <w:bCs/>
          <w:i w:val="false"/>
          <w:iCs w:val="false"/>
          <w:caps w:val="false"/>
          <w:color w:val="000000"/>
          <w:sz w:val="20"/>
          <w:szCs w:val="20"/>
        </w:rPr>
        <w:t xml:space="preserve">Grievance Classification: </w:t>
      </w:r>
      <w:r>
        <w:rPr>
          <w:rFonts w:ascii="Times New Roman" w:cs="Times New Roman" w:eastAsia="Times New Roman" w:hAnsi="Times New Roman"/>
          <w:b w:val="false"/>
          <w:bCs w:val="false"/>
          <w:i w:val="false"/>
          <w:iCs w:val="false"/>
          <w:caps w:val="false"/>
          <w:color w:val="000000"/>
          <w:sz w:val="20"/>
          <w:szCs w:val="20"/>
        </w:rPr>
        <w:t xml:space="preserve">Open Government Data Platform India (data.gov.in) public grievance records; CPGRAMS 30-category taxonomy; a 10,000-record multilingual (Hindi/English) grievance corpus constructed via manual labelling and Snorkel-based weak supervision.</w:t>
      </w:r>
    </w:p>
    <w:p>
      <w:pPr>
        <w:spacing w:after="80" w:before="180"/>
        <w:jc w:val="both"/>
      </w:pPr>
      <w:r>
        <w:rPr>
          <w:rFonts w:ascii="Times New Roman" w:cs="Times New Roman" w:eastAsia="Times New Roman" w:hAnsi="Times New Roman"/>
          <w:b/>
          <w:bCs/>
          <w:i/>
          <w:iCs/>
          <w:caps w:val="false"/>
          <w:color w:val="000000"/>
          <w:sz w:val="20"/>
          <w:szCs w:val="20"/>
        </w:rPr>
        <w:t xml:space="preserve">B. Evaluation Metrics</w:t>
      </w:r>
    </w:p>
    <w:p>
      <w:pPr>
        <w:spacing w:after="60" w:before="0"/>
        <w:jc w:val="both"/>
      </w:pPr>
      <w:r>
        <w:rPr>
          <w:rFonts w:ascii="Times New Roman" w:cs="Times New Roman" w:eastAsia="Times New Roman" w:hAnsi="Times New Roman"/>
          <w:b w:val="false"/>
          <w:bCs w:val="false"/>
          <w:i w:val="false"/>
          <w:iCs w:val="false"/>
          <w:caps w:val="false"/>
          <w:color w:val="000000"/>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360"/>
      </w:tblGrid>
      <w:tr>
        <w:trPr>
          <w:tblHeader/>
        </w:trPr>
        <w:tc>
          <w:tcPr>
            <w:tcW w:type="dxa" w:w="2600"/>
            <w:tcBorders>
              <w:top w:val="single" w:color="BBBBBB" w:sz="1"/>
              <w:left w:val="single" w:color="BBBBBB" w:sz="1"/>
              <w:bottom w:val="single" w:color="BBBBBB" w:sz="1"/>
              <w:right w:val="single" w:color="BBBBBB" w:sz="1"/>
            </w:tcBorders>
            <w:shd w:fill="1E3A5F" w:val="clear"/>
            <w:tcMar>
              <w:top w:type="dxa" w:w="70"/>
              <w:left w:type="dxa" w:w="120"/>
              <w:bottom w:type="dxa" w:w="70"/>
              <w:right w:type="dxa" w:w="120"/>
            </w:tcMar>
          </w:tcPr>
          <w:p>
            <w:pPr>
              <w:spacing w:after="0" w:before="0"/>
            </w:pPr>
            <w:r>
              <w:rPr>
                <w:rFonts w:ascii="Times New Roman" w:cs="Times New Roman" w:eastAsia="Times New Roman" w:hAnsi="Times New Roman"/>
                <w:b/>
                <w:bCs/>
                <w:color w:val="FFFFFF"/>
                <w:sz w:val="18"/>
                <w:szCs w:val="18"/>
              </w:rPr>
              <w:t xml:space="preserve">Module</w:t>
            </w:r>
          </w:p>
        </w:tc>
        <w:tc>
          <w:tcPr>
            <w:tcW w:type="dxa" w:w="2400"/>
            <w:tcBorders>
              <w:top w:val="single" w:color="BBBBBB" w:sz="1"/>
              <w:left w:val="single" w:color="BBBBBB" w:sz="1"/>
              <w:bottom w:val="single" w:color="BBBBBB" w:sz="1"/>
              <w:right w:val="single" w:color="BBBBBB" w:sz="1"/>
            </w:tcBorders>
            <w:shd w:fill="1E3A5F" w:val="clear"/>
            <w:tcMar>
              <w:top w:type="dxa" w:w="70"/>
              <w:left w:type="dxa" w:w="120"/>
              <w:bottom w:type="dxa" w:w="70"/>
              <w:right w:type="dxa" w:w="120"/>
            </w:tcMar>
          </w:tcPr>
          <w:p>
            <w:pPr>
              <w:spacing w:after="0" w:before="0"/>
            </w:pPr>
            <w:r>
              <w:rPr>
                <w:rFonts w:ascii="Times New Roman" w:cs="Times New Roman" w:eastAsia="Times New Roman" w:hAnsi="Times New Roman"/>
                <w:b/>
                <w:bCs/>
                <w:color w:val="FFFFFF"/>
                <w:sz w:val="18"/>
                <w:szCs w:val="18"/>
              </w:rPr>
              <w:t xml:space="preserve">Metric</w:t>
            </w:r>
          </w:p>
        </w:tc>
        <w:tc>
          <w:tcPr>
            <w:tcW w:type="dxa" w:w="4360"/>
            <w:tcBorders>
              <w:top w:val="single" w:color="BBBBBB" w:sz="1"/>
              <w:left w:val="single" w:color="BBBBBB" w:sz="1"/>
              <w:bottom w:val="single" w:color="BBBBBB" w:sz="1"/>
              <w:right w:val="single" w:color="BBBBBB" w:sz="1"/>
            </w:tcBorders>
            <w:shd w:fill="1E3A5F" w:val="clear"/>
            <w:tcMar>
              <w:top w:type="dxa" w:w="70"/>
              <w:left w:type="dxa" w:w="120"/>
              <w:bottom w:type="dxa" w:w="70"/>
              <w:right w:type="dxa" w:w="120"/>
            </w:tcMar>
          </w:tcPr>
          <w:p>
            <w:pPr>
              <w:spacing w:after="0" w:before="0"/>
            </w:pPr>
            <w:r>
              <w:rPr>
                <w:rFonts w:ascii="Times New Roman" w:cs="Times New Roman" w:eastAsia="Times New Roman" w:hAnsi="Times New Roman"/>
                <w:b/>
                <w:bCs/>
                <w:color w:val="FFFFFF"/>
                <w:sz w:val="18"/>
                <w:szCs w:val="18"/>
              </w:rPr>
              <w:t xml:space="preserve">Definition / Target</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Career Recommendation (CGA)</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Precision@5</w:t>
            </w:r>
          </w:p>
        </w:tc>
        <w:tc>
          <w:tcPr>
            <w:tcW w:type="dxa" w:w="4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Fraction of top-5 careers rated relevant by the user</w:t>
            </w:r>
          </w:p>
        </w:tc>
      </w:tr>
      <w:tr>
        <w:trPr>
          <w:tblHeader w:val="false"/>
        </w:trPr>
        <w:tc>
          <w:tcPr>
            <w:tcW w:type="dxa" w:w="2600"/>
            <w:tcBorders>
              <w:top w:val="single" w:color="BBBBBB" w:sz="1"/>
              <w:left w:val="single" w:color="BBBBBB" w:sz="1"/>
              <w:bottom w:val="single" w:color="BBBBBB" w:sz="1"/>
              <w:right w:val="single" w:color="BBBBBB" w:sz="1"/>
            </w:tcBorders>
            <w:shd w:fill="F2F6FB"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
            </w:r>
          </w:p>
        </w:tc>
        <w:tc>
          <w:tcPr>
            <w:tcW w:type="dxa" w:w="2400"/>
            <w:tcBorders>
              <w:top w:val="single" w:color="BBBBBB" w:sz="1"/>
              <w:left w:val="single" w:color="BBBBBB" w:sz="1"/>
              <w:bottom w:val="single" w:color="BBBBBB" w:sz="1"/>
              <w:right w:val="single" w:color="BBBBBB" w:sz="1"/>
            </w:tcBorders>
            <w:shd w:fill="F2F6FB"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NDCG@10</w:t>
            </w:r>
          </w:p>
        </w:tc>
        <w:tc>
          <w:tcPr>
            <w:tcW w:type="dxa" w:w="4360"/>
            <w:tcBorders>
              <w:top w:val="single" w:color="BBBBBB" w:sz="1"/>
              <w:left w:val="single" w:color="BBBBBB" w:sz="1"/>
              <w:bottom w:val="single" w:color="BBBBBB" w:sz="1"/>
              <w:right w:val="single" w:color="BBBBBB" w:sz="1"/>
            </w:tcBorders>
            <w:shd w:fill="F2F6FB"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Normalised Discounted Cumulative Gain at rank 10</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Cold-Start NDCG</w:t>
            </w:r>
          </w:p>
        </w:tc>
        <w:tc>
          <w:tcPr>
            <w:tcW w:type="dxa" w:w="4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NDCG@10 for users with no prior interaction history</w:t>
            </w:r>
          </w:p>
        </w:tc>
      </w:tr>
      <w:tr>
        <w:trPr>
          <w:tblHeader w:val="false"/>
        </w:trPr>
        <w:tc>
          <w:tcPr>
            <w:tcW w:type="dxa" w:w="2600"/>
            <w:tcBorders>
              <w:top w:val="single" w:color="BBBBBB" w:sz="1"/>
              <w:left w:val="single" w:color="BBBBBB" w:sz="1"/>
              <w:bottom w:val="single" w:color="BBBBBB" w:sz="1"/>
              <w:right w:val="single" w:color="BBBBBB" w:sz="1"/>
            </w:tcBorders>
            <w:shd w:fill="F2F6FB"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Skill Gap (SGA)</w:t>
            </w:r>
          </w:p>
        </w:tc>
        <w:tc>
          <w:tcPr>
            <w:tcW w:type="dxa" w:w="2400"/>
            <w:tcBorders>
              <w:top w:val="single" w:color="BBBBBB" w:sz="1"/>
              <w:left w:val="single" w:color="BBBBBB" w:sz="1"/>
              <w:bottom w:val="single" w:color="BBBBBB" w:sz="1"/>
              <w:right w:val="single" w:color="BBBBBB" w:sz="1"/>
            </w:tcBorders>
            <w:shd w:fill="F2F6FB"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Gap Accuracy</w:t>
            </w:r>
          </w:p>
        </w:tc>
        <w:tc>
          <w:tcPr>
            <w:tcW w:type="dxa" w:w="4360"/>
            <w:tcBorders>
              <w:top w:val="single" w:color="BBBBBB" w:sz="1"/>
              <w:left w:val="single" w:color="BBBBBB" w:sz="1"/>
              <w:bottom w:val="single" w:color="BBBBBB" w:sz="1"/>
              <w:right w:val="single" w:color="BBBBBB" w:sz="1"/>
            </w:tcBorders>
            <w:shd w:fill="F2F6FB"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 of identified gaps matching expert annotation</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Roadmap Validity</w:t>
            </w:r>
          </w:p>
        </w:tc>
        <w:tc>
          <w:tcPr>
            <w:tcW w:type="dxa" w:w="4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 of roadmaps with topologically correct prerequisite order</w:t>
            </w:r>
          </w:p>
        </w:tc>
      </w:tr>
      <w:tr>
        <w:trPr>
          <w:tblHeader w:val="false"/>
        </w:trPr>
        <w:tc>
          <w:tcPr>
            <w:tcW w:type="dxa" w:w="2600"/>
            <w:tcBorders>
              <w:top w:val="single" w:color="BBBBBB" w:sz="1"/>
              <w:left w:val="single" w:color="BBBBBB" w:sz="1"/>
              <w:bottom w:val="single" w:color="BBBBBB" w:sz="1"/>
              <w:right w:val="single" w:color="BBBBBB" w:sz="1"/>
            </w:tcBorders>
            <w:shd w:fill="F2F6FB"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Grievance (CIA+DRA)</w:t>
            </w:r>
          </w:p>
        </w:tc>
        <w:tc>
          <w:tcPr>
            <w:tcW w:type="dxa" w:w="2400"/>
            <w:tcBorders>
              <w:top w:val="single" w:color="BBBBBB" w:sz="1"/>
              <w:left w:val="single" w:color="BBBBBB" w:sz="1"/>
              <w:bottom w:val="single" w:color="BBBBBB" w:sz="1"/>
              <w:right w:val="single" w:color="BBBBBB" w:sz="1"/>
            </w:tcBorders>
            <w:shd w:fill="F2F6FB"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Classification Acc.</w:t>
            </w:r>
          </w:p>
        </w:tc>
        <w:tc>
          <w:tcPr>
            <w:tcW w:type="dxa" w:w="4360"/>
            <w:tcBorders>
              <w:top w:val="single" w:color="BBBBBB" w:sz="1"/>
              <w:left w:val="single" w:color="BBBBBB" w:sz="1"/>
              <w:bottom w:val="single" w:color="BBBBBB" w:sz="1"/>
              <w:right w:val="single" w:color="BBBBBB" w:sz="1"/>
            </w:tcBorders>
            <w:shd w:fill="F2F6FB"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 of grievances correctly categorised (30-class)</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Routing Accuracy</w:t>
            </w:r>
          </w:p>
        </w:tc>
        <w:tc>
          <w:tcPr>
            <w:tcW w:type="dxa" w:w="4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 of grievances routed to correct department</w:t>
            </w:r>
          </w:p>
        </w:tc>
      </w:tr>
      <w:tr>
        <w:trPr>
          <w:tblHeader w:val="false"/>
        </w:trPr>
        <w:tc>
          <w:tcPr>
            <w:tcW w:type="dxa" w:w="2600"/>
            <w:tcBorders>
              <w:top w:val="single" w:color="BBBBBB" w:sz="1"/>
              <w:left w:val="single" w:color="BBBBBB" w:sz="1"/>
              <w:bottom w:val="single" w:color="BBBBBB" w:sz="1"/>
              <w:right w:val="single" w:color="BBBBBB" w:sz="1"/>
            </w:tcBorders>
            <w:shd w:fill="F2F6FB"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
            </w:r>
          </w:p>
        </w:tc>
        <w:tc>
          <w:tcPr>
            <w:tcW w:type="dxa" w:w="2400"/>
            <w:tcBorders>
              <w:top w:val="single" w:color="BBBBBB" w:sz="1"/>
              <w:left w:val="single" w:color="BBBBBB" w:sz="1"/>
              <w:bottom w:val="single" w:color="BBBBBB" w:sz="1"/>
              <w:right w:val="single" w:color="BBBBBB" w:sz="1"/>
            </w:tcBorders>
            <w:shd w:fill="F2F6FB"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Macro F1</w:t>
            </w:r>
          </w:p>
        </w:tc>
        <w:tc>
          <w:tcPr>
            <w:tcW w:type="dxa" w:w="4360"/>
            <w:tcBorders>
              <w:top w:val="single" w:color="BBBBBB" w:sz="1"/>
              <w:left w:val="single" w:color="BBBBBB" w:sz="1"/>
              <w:bottom w:val="single" w:color="BBBBBB" w:sz="1"/>
              <w:right w:val="single" w:color="BBBBBB" w:sz="1"/>
            </w:tcBorders>
            <w:shd w:fill="F2F6FB"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Macro-averaged F1 across all department classes</w:t>
            </w:r>
          </w:p>
        </w:tc>
      </w:tr>
      <w:tr>
        <w:trPr>
          <w:tblHeader w:val="false"/>
        </w:trPr>
        <w:tc>
          <w:tcPr>
            <w:tcW w:type="dxa" w:w="26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System</w:t>
            </w:r>
          </w:p>
        </w:tc>
        <w:tc>
          <w:tcPr>
            <w:tcW w:type="dxa" w:w="240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SUS Score</w:t>
            </w:r>
          </w:p>
        </w:tc>
        <w:tc>
          <w:tcPr>
            <w:tcW w:type="dxa" w:w="4360"/>
            <w:tcBorders>
              <w:top w:val="single" w:color="BBBBBB" w:sz="1"/>
              <w:left w:val="single" w:color="BBBBBB" w:sz="1"/>
              <w:bottom w:val="single" w:color="BBBBBB" w:sz="1"/>
              <w:right w:val="single" w:color="BBBBBB" w:sz="1"/>
            </w:tcBorders>
            <w:shd w:fill="FFFFFF"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System Usability Scale (target ≥ 80 / 100)</w:t>
            </w:r>
          </w:p>
        </w:tc>
      </w:tr>
      <w:tr>
        <w:trPr>
          <w:tblHeader w:val="false"/>
        </w:trPr>
        <w:tc>
          <w:tcPr>
            <w:tcW w:type="dxa" w:w="2600"/>
            <w:tcBorders>
              <w:top w:val="single" w:color="BBBBBB" w:sz="1"/>
              <w:left w:val="single" w:color="BBBBBB" w:sz="1"/>
              <w:bottom w:val="single" w:color="BBBBBB" w:sz="1"/>
              <w:right w:val="single" w:color="BBBBBB" w:sz="1"/>
            </w:tcBorders>
            <w:shd w:fill="F2F6FB"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
            </w:r>
          </w:p>
        </w:tc>
        <w:tc>
          <w:tcPr>
            <w:tcW w:type="dxa" w:w="2400"/>
            <w:tcBorders>
              <w:top w:val="single" w:color="BBBBBB" w:sz="1"/>
              <w:left w:val="single" w:color="BBBBBB" w:sz="1"/>
              <w:bottom w:val="single" w:color="BBBBBB" w:sz="1"/>
              <w:right w:val="single" w:color="BBBBBB" w:sz="1"/>
            </w:tcBorders>
            <w:shd w:fill="F2F6FB"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Latency</w:t>
            </w:r>
          </w:p>
        </w:tc>
        <w:tc>
          <w:tcPr>
            <w:tcW w:type="dxa" w:w="4360"/>
            <w:tcBorders>
              <w:top w:val="single" w:color="BBBBBB" w:sz="1"/>
              <w:left w:val="single" w:color="BBBBBB" w:sz="1"/>
              <w:bottom w:val="single" w:color="BBBBBB" w:sz="1"/>
              <w:right w:val="single" w:color="BBBBBB" w:sz="1"/>
            </w:tcBorders>
            <w:shd w:fill="F2F6FB" w:val="clear"/>
            <w:tcMar>
              <w:top w:type="dxa" w:w="70"/>
              <w:left w:type="dxa" w:w="120"/>
              <w:bottom w:type="dxa" w:w="70"/>
              <w:right w:type="dxa" w:w="120"/>
            </w:tcMar>
          </w:tcPr>
          <w:p>
            <w:pPr>
              <w:spacing w:after="0" w:before="0"/>
            </w:pPr>
            <w:r>
              <w:rPr>
                <w:rFonts w:ascii="Times New Roman" w:cs="Times New Roman" w:eastAsia="Times New Roman" w:hAnsi="Times New Roman"/>
                <w:b w:val="false"/>
                <w:bCs w:val="false"/>
                <w:color w:val="1A1A1A"/>
                <w:sz w:val="18"/>
                <w:szCs w:val="18"/>
              </w:rPr>
              <w:t xml:space="preserve">End-to-end response time (target &lt; 3 s)</w:t>
            </w:r>
          </w:p>
        </w:tc>
      </w:tr>
    </w:tbl>
    <w:p>
      <w:pPr>
        <w:spacing w:after="200" w:before="80"/>
        <w:jc w:val="center"/>
      </w:pPr>
      <w:r>
        <w:rPr>
          <w:rFonts w:ascii="Times New Roman" w:cs="Times New Roman" w:eastAsia="Times New Roman" w:hAnsi="Times New Roman"/>
          <w:b w:val="false"/>
          <w:bCs w:val="false"/>
          <w:i/>
          <w:iCs/>
          <w:caps w:val="false"/>
          <w:color w:val="000000"/>
          <w:sz w:val="18"/>
          <w:szCs w:val="18"/>
        </w:rPr>
        <w:t xml:space="preserve">Table II. Evaluation Metrics by Module</w:t>
      </w:r>
    </w:p>
    <w:p>
      <w:pPr>
        <w:spacing w:after="80" w:before="180"/>
        <w:jc w:val="both"/>
      </w:pPr>
      <w:r>
        <w:rPr>
          <w:rFonts w:ascii="Times New Roman" w:cs="Times New Roman" w:eastAsia="Times New Roman" w:hAnsi="Times New Roman"/>
          <w:b/>
          <w:bCs/>
          <w:i/>
          <w:iCs/>
          <w:caps w:val="false"/>
          <w:color w:val="000000"/>
          <w:sz w:val="20"/>
          <w:szCs w:val="20"/>
        </w:rPr>
        <w:t xml:space="preserve">C. Baseline Comparisons</w:t>
      </w:r>
    </w:p>
    <w:p>
      <w:pPr>
        <w:spacing w:after="120" w:before="0"/>
        <w:jc w:val="both"/>
      </w:pPr>
      <w:r>
        <w:rPr>
          <w:rFonts w:ascii="Times New Roman" w:cs="Times New Roman" w:eastAsia="Times New Roman" w:hAnsi="Times New Roman"/>
          <w:b w:val="false"/>
          <w:bCs w:val="false"/>
          <w:i w:val="false"/>
          <w:iCs w:val="false"/>
          <w:caps w:val="false"/>
          <w:color w:val="000000"/>
          <w:sz w:val="20"/>
          <w:szCs w:val="20"/>
        </w:rPr>
        <w:t xml:space="preserve">The proposed system will be benchmarked against: (1) India's NCS Portal as a career recommendation baseline; (2) a single-agent GPT-3.5 chatbot with a unified prompt; (3) CPGRAMS standalone for grievance classification; (4) a TF-IDF + SVM pipeline as a classical NLP baseline; and (5) a monolithic BERT model handling all tasks, to quantify the benefit of agent specialisation over a single-model approach.</w:t>
      </w:r>
    </w:p>
    <w:p>
      <w:pPr>
        <w:spacing w:after="80" w:before="180"/>
        <w:jc w:val="both"/>
      </w:pPr>
      <w:r>
        <w:rPr>
          <w:rFonts w:ascii="Times New Roman" w:cs="Times New Roman" w:eastAsia="Times New Roman" w:hAnsi="Times New Roman"/>
          <w:b/>
          <w:bCs/>
          <w:i/>
          <w:iCs/>
          <w:caps w:val="false"/>
          <w:color w:val="000000"/>
          <w:sz w:val="20"/>
          <w:szCs w:val="20"/>
        </w:rPr>
        <w:t xml:space="preserve">D. User Study Protocol</w:t>
      </w:r>
    </w:p>
    <w:p>
      <w:pPr>
        <w:spacing w:after="120" w:before="0"/>
        <w:jc w:val="both"/>
      </w:pPr>
      <w:r>
        <w:rPr>
          <w:rFonts w:ascii="Times New Roman" w:cs="Times New Roman" w:eastAsia="Times New Roman" w:hAnsi="Times New Roman"/>
          <w:b w:val="false"/>
          <w:bCs w:val="false"/>
          <w:i w:val="false"/>
          <w:iCs w:val="false"/>
          <w:caps w:val="false"/>
          <w:color w:val="000000"/>
          <w:sz w:val="20"/>
          <w:szCs w:val="20"/>
        </w:rPr>
        <w:t xml:space="preserve">A planned user study (n = 200 participants, stratified by age 18–28, gender, and urban/rural location) will evaluate task completion rate for career profile setup; relevance rating of career recommendations on a 5-point Likert scale; perceived ease of grievance submission; System Usability Scale score; and 30-day return usage rate during a pilot deployment.</w:t>
      </w:r>
    </w:p>
    <w:p>
      <w:pPr>
        <w:spacing w:after="120" w:before="280"/>
        <w:jc w:val="both"/>
      </w:pPr>
      <w:r>
        <w:rPr>
          <w:rFonts w:ascii="Times New Roman" w:cs="Times New Roman" w:eastAsia="Times New Roman" w:hAnsi="Times New Roman"/>
          <w:b/>
          <w:bCs/>
          <w:i w:val="false"/>
          <w:iCs w:val="false"/>
          <w:caps w:val="false"/>
          <w:color w:val="000000"/>
          <w:sz w:val="22"/>
          <w:szCs w:val="22"/>
        </w:rPr>
        <w:t xml:space="preserve">VIII. DISCUSSION</w:t>
      </w:r>
    </w:p>
    <w:p>
      <w:pPr>
        <w:spacing w:after="80" w:before="180"/>
        <w:jc w:val="both"/>
      </w:pPr>
      <w:r>
        <w:rPr>
          <w:rFonts w:ascii="Times New Roman" w:cs="Times New Roman" w:eastAsia="Times New Roman" w:hAnsi="Times New Roman"/>
          <w:b/>
          <w:bCs/>
          <w:i/>
          <w:iCs/>
          <w:caps w:val="false"/>
          <w:color w:val="000000"/>
          <w:sz w:val="20"/>
          <w:szCs w:val="20"/>
        </w:rPr>
        <w:t xml:space="preserve">A. Significance of the Unified Framework</w:t>
      </w:r>
    </w:p>
    <w:p>
      <w:pPr>
        <w:spacing w:after="120" w:before="0"/>
        <w:jc w:val="both"/>
      </w:pPr>
      <w:r>
        <w:rPr>
          <w:rFonts w:ascii="Times New Roman" w:cs="Times New Roman" w:eastAsia="Times New Roman" w:hAnsi="Times New Roman"/>
          <w:b w:val="false"/>
          <w:bCs w:val="false"/>
          <w:i w:val="false"/>
          <w:iCs w:val="false"/>
          <w:caps w:val="false"/>
          <w:color w:val="000000"/>
          <w:sz w:val="20"/>
          <w:szCs w:val="20"/>
        </w:rPr>
        <w:t xml:space="preserve">The central intellectual contribution of YUVA-AI is not any single component in isolation—career recommendation systems exist, grievance classifiers exist—but the argument that these domains should be addressed in concert. A youth user's civic experience shapes their perception of institutional efficacy, which influences career choices such as whether to pursue public administration, social entrepreneurship, or exit entirely to the private sector. Conversely, career progression in digital sectors makes users more effective civic participants. This feedback loop is computationally expressible in YUVA-AI's cross-domain Analytics Agent and represents a novel design insight absent from prior work.</w:t>
      </w:r>
    </w:p>
    <w:p>
      <w:pPr>
        <w:spacing w:after="80" w:before="180"/>
        <w:jc w:val="both"/>
      </w:pPr>
      <w:r>
        <w:rPr>
          <w:rFonts w:ascii="Times New Roman" w:cs="Times New Roman" w:eastAsia="Times New Roman" w:hAnsi="Times New Roman"/>
          <w:b/>
          <w:bCs/>
          <w:i/>
          <w:iCs/>
          <w:caps w:val="false"/>
          <w:color w:val="000000"/>
          <w:sz w:val="20"/>
          <w:szCs w:val="20"/>
        </w:rPr>
        <w:t xml:space="preserve">B. Contextual Grounding in India's Digital Ecosystem</w:t>
      </w:r>
    </w:p>
    <w:p>
      <w:pPr>
        <w:spacing w:after="120" w:before="0"/>
        <w:jc w:val="both"/>
      </w:pPr>
      <w:r>
        <w:rPr>
          <w:rFonts w:ascii="Times New Roman" w:cs="Times New Roman" w:eastAsia="Times New Roman" w:hAnsi="Times New Roman"/>
          <w:b w:val="false"/>
          <w:bCs w:val="false"/>
          <w:i w:val="false"/>
          <w:iCs w:val="false"/>
          <w:caps w:val="false"/>
          <w:color w:val="000000"/>
          <w:sz w:val="20"/>
          <w:szCs w:val="20"/>
        </w:rPr>
        <w:t xml:space="preserve">YUVA-AI is explicitly designed around India's existing digital infrastructure—CPGRAMS for grievance redressal, NCS Portal for job matching, SWAYAM for skill development, and DigiLocker for credential verification. Generic AI frameworks fail in the Indian context because they do not account for linguistic diversity (22 scheduled languages), infrastructure heterogeneity (urban fibre vs. rural 2G), and administrative complexity (Union, State, and Local Body tri-level governance). YUVA-AI addresses these constraints through multilingual NLP (MuRIL), lightweight model options (quantised BERT for edge devices), and a configurable administrative hierarchy in the DRA.</w:t>
      </w:r>
    </w:p>
    <w:p>
      <w:pPr>
        <w:spacing w:after="80" w:before="180"/>
        <w:jc w:val="both"/>
      </w:pPr>
      <w:r>
        <w:rPr>
          <w:rFonts w:ascii="Times New Roman" w:cs="Times New Roman" w:eastAsia="Times New Roman" w:hAnsi="Times New Roman"/>
          <w:b/>
          <w:bCs/>
          <w:i/>
          <w:iCs/>
          <w:caps w:val="false"/>
          <w:color w:val="000000"/>
          <w:sz w:val="20"/>
          <w:szCs w:val="20"/>
        </w:rPr>
        <w:t xml:space="preserve">C. Ethical Considerations</w:t>
      </w:r>
    </w:p>
    <w:p>
      <w:pPr>
        <w:spacing w:after="120" w:before="0"/>
        <w:jc w:val="both"/>
      </w:pPr>
      <w:r>
        <w:rPr>
          <w:rFonts w:ascii="Times New Roman" w:cs="Times New Roman" w:eastAsia="Times New Roman" w:hAnsi="Times New Roman"/>
          <w:b w:val="false"/>
          <w:bCs w:val="false"/>
          <w:i w:val="false"/>
          <w:iCs w:val="false"/>
          <w:caps w:val="false"/>
          <w:color w:val="000000"/>
          <w:sz w:val="20"/>
          <w:szCs w:val="20"/>
        </w:rPr>
        <w:t xml:space="preserve">YUVA-AI collects and processes sensitive youth data. The system must adhere to India's Digital Personal Data Protection Act (DPDPA) 2023. Key safeguards include data minimisation (collecting only data required for specific agent functions), consent management (granular per-category permissions), anonymisation before Analytics Agent processing, and differential privacy mechanisms for the collaborative filtering component to prevent individual profile inference from aggregate recommendation outputs.</w:t>
      </w:r>
    </w:p>
    <w:p>
      <w:pPr>
        <w:spacing w:after="120" w:before="280"/>
        <w:jc w:val="both"/>
      </w:pPr>
      <w:r>
        <w:rPr>
          <w:rFonts w:ascii="Times New Roman" w:cs="Times New Roman" w:eastAsia="Times New Roman" w:hAnsi="Times New Roman"/>
          <w:b/>
          <w:bCs/>
          <w:i w:val="false"/>
          <w:iCs w:val="false"/>
          <w:caps w:val="false"/>
          <w:color w:val="000000"/>
          <w:sz w:val="22"/>
          <w:szCs w:val="22"/>
        </w:rPr>
        <w:t xml:space="preserve">IX. LIMITATIONS</w:t>
      </w:r>
    </w:p>
    <w:p>
      <w:pPr>
        <w:spacing w:after="120" w:before="0"/>
        <w:jc w:val="both"/>
      </w:pPr>
      <w:r>
        <w:rPr>
          <w:rFonts w:ascii="Times New Roman" w:cs="Times New Roman" w:eastAsia="Times New Roman" w:hAnsi="Times New Roman"/>
          <w:b w:val="false"/>
          <w:bCs w:val="false"/>
          <w:i w:val="false"/>
          <w:iCs w:val="false"/>
          <w:caps w:val="false"/>
          <w:color w:val="000000"/>
          <w:sz w:val="20"/>
          <w:szCs w:val="20"/>
        </w:rPr>
        <w:t xml:space="preserve">The following limitations are acknowledged honestly:</w:t>
      </w:r>
    </w:p>
    <w:p>
      <w:pPr>
        <w:spacing w:after="120" w:before="0"/>
        <w:jc w:val="both"/>
      </w:pPr>
      <w:r>
        <w:rPr>
          <w:rFonts w:ascii="Times New Roman" w:cs="Times New Roman" w:eastAsia="Times New Roman" w:hAnsi="Times New Roman"/>
          <w:b/>
          <w:bCs/>
          <w:i w:val="false"/>
          <w:iCs w:val="false"/>
          <w:caps w:val="false"/>
          <w:color w:val="000000"/>
          <w:sz w:val="20"/>
          <w:szCs w:val="20"/>
        </w:rPr>
        <w:t xml:space="preserve">1. Data Availability: </w:t>
      </w:r>
      <w:r>
        <w:rPr>
          <w:rFonts w:ascii="Times New Roman" w:cs="Times New Roman" w:eastAsia="Times New Roman" w:hAnsi="Times New Roman"/>
          <w:b w:val="false"/>
          <w:bCs w:val="false"/>
          <w:i w:val="false"/>
          <w:iCs w:val="false"/>
          <w:caps w:val="false"/>
          <w:color w:val="000000"/>
          <w:sz w:val="20"/>
          <w:szCs w:val="20"/>
        </w:rPr>
        <w:t xml:space="preserve">The evaluation relies on partially synthetic data. Real-world performance may differ, particularly for grievance routing in states with unique administrative structures or lower digital literacy.</w:t>
      </w:r>
    </w:p>
    <w:p>
      <w:pPr>
        <w:spacing w:after="120" w:before="0"/>
        <w:jc w:val="both"/>
      </w:pPr>
      <w:r>
        <w:rPr>
          <w:rFonts w:ascii="Times New Roman" w:cs="Times New Roman" w:eastAsia="Times New Roman" w:hAnsi="Times New Roman"/>
          <w:b/>
          <w:bCs/>
          <w:i w:val="false"/>
          <w:iCs w:val="false"/>
          <w:caps w:val="false"/>
          <w:color w:val="000000"/>
          <w:sz w:val="20"/>
          <w:szCs w:val="20"/>
        </w:rPr>
        <w:t xml:space="preserve">2. LLM Dependence: </w:t>
      </w:r>
      <w:r>
        <w:rPr>
          <w:rFonts w:ascii="Times New Roman" w:cs="Times New Roman" w:eastAsia="Times New Roman" w:hAnsi="Times New Roman"/>
          <w:b w:val="false"/>
          <w:bCs w:val="false"/>
          <w:i w:val="false"/>
          <w:iCs w:val="false"/>
          <w:caps w:val="false"/>
          <w:color w:val="000000"/>
          <w:sz w:val="20"/>
          <w:szCs w:val="20"/>
        </w:rPr>
        <w:t xml:space="preserve">The current architecture assumes access to transformer-based models. Deployment in low-bandwidth rural environments requires model compression (quantisation, knowledge distillation) not yet fully specified.</w:t>
      </w:r>
    </w:p>
    <w:p>
      <w:pPr>
        <w:spacing w:after="120" w:before="0"/>
        <w:jc w:val="both"/>
      </w:pPr>
      <w:r>
        <w:rPr>
          <w:rFonts w:ascii="Times New Roman" w:cs="Times New Roman" w:eastAsia="Times New Roman" w:hAnsi="Times New Roman"/>
          <w:b/>
          <w:bCs/>
          <w:i w:val="false"/>
          <w:iCs w:val="false"/>
          <w:caps w:val="false"/>
          <w:color w:val="000000"/>
          <w:sz w:val="20"/>
          <w:szCs w:val="20"/>
        </w:rPr>
        <w:t xml:space="preserve">3. Cold-Start Problem: </w:t>
      </w:r>
      <w:r>
        <w:rPr>
          <w:rFonts w:ascii="Times New Roman" w:cs="Times New Roman" w:eastAsia="Times New Roman" w:hAnsi="Times New Roman"/>
          <w:b w:val="false"/>
          <w:bCs w:val="false"/>
          <w:i w:val="false"/>
          <w:iCs w:val="false"/>
          <w:caps w:val="false"/>
          <w:color w:val="000000"/>
          <w:sz w:val="20"/>
          <w:szCs w:val="20"/>
        </w:rPr>
        <w:t xml:space="preserve">For new users with minimal profiles, career recommendations rely on demographic priors that may systematically disadvantage non-traditional or interdisciplinary career aspirants.</w:t>
      </w:r>
    </w:p>
    <w:p>
      <w:pPr>
        <w:spacing w:after="120" w:before="0"/>
        <w:jc w:val="both"/>
      </w:pPr>
      <w:r>
        <w:rPr>
          <w:rFonts w:ascii="Times New Roman" w:cs="Times New Roman" w:eastAsia="Times New Roman" w:hAnsi="Times New Roman"/>
          <w:b/>
          <w:bCs/>
          <w:i w:val="false"/>
          <w:iCs w:val="false"/>
          <w:caps w:val="false"/>
          <w:color w:val="000000"/>
          <w:sz w:val="20"/>
          <w:szCs w:val="20"/>
        </w:rPr>
        <w:t xml:space="preserve">4. Grievance Corpus Bias: </w:t>
      </w:r>
      <w:r>
        <w:rPr>
          <w:rFonts w:ascii="Times New Roman" w:cs="Times New Roman" w:eastAsia="Times New Roman" w:hAnsi="Times New Roman"/>
          <w:b w:val="false"/>
          <w:bCs w:val="false"/>
          <w:i w:val="false"/>
          <w:iCs w:val="false"/>
          <w:caps w:val="false"/>
          <w:color w:val="000000"/>
          <w:sz w:val="20"/>
          <w:szCs w:val="20"/>
        </w:rPr>
        <w:t xml:space="preserve">Publicly available CPGRAMS-style datasets may underrepresent sensitive grievance categories—sexual harassment, caste discrimination—due to historical underreporting, potentially reducing classifier performance on these critical classes.</w:t>
      </w:r>
    </w:p>
    <w:p>
      <w:pPr>
        <w:spacing w:after="120" w:before="0"/>
        <w:jc w:val="both"/>
      </w:pPr>
      <w:r>
        <w:rPr>
          <w:rFonts w:ascii="Times New Roman" w:cs="Times New Roman" w:eastAsia="Times New Roman" w:hAnsi="Times New Roman"/>
          <w:b/>
          <w:bCs/>
          <w:i w:val="false"/>
          <w:iCs w:val="false"/>
          <w:caps w:val="false"/>
          <w:color w:val="000000"/>
          <w:sz w:val="20"/>
          <w:szCs w:val="20"/>
        </w:rPr>
        <w:t xml:space="preserve">5. Government Integration Dependency: </w:t>
      </w:r>
      <w:r>
        <w:rPr>
          <w:rFonts w:ascii="Times New Roman" w:cs="Times New Roman" w:eastAsia="Times New Roman" w:hAnsi="Times New Roman"/>
          <w:b w:val="false"/>
          <w:bCs w:val="false"/>
          <w:i w:val="false"/>
          <w:iCs w:val="false"/>
          <w:caps w:val="false"/>
          <w:color w:val="000000"/>
          <w:sz w:val="20"/>
          <w:szCs w:val="20"/>
        </w:rPr>
        <w:t xml:space="preserve">The DRA's effectiveness depends on API access to government portals, which is subject to policy changes and institutional cooperation outside the researchers' control.</w:t>
      </w:r>
    </w:p>
    <w:p>
      <w:pPr>
        <w:spacing w:after="120" w:before="0"/>
        <w:jc w:val="both"/>
      </w:pPr>
      <w:r>
        <w:rPr>
          <w:rFonts w:ascii="Times New Roman" w:cs="Times New Roman" w:eastAsia="Times New Roman" w:hAnsi="Times New Roman"/>
          <w:b/>
          <w:bCs/>
          <w:i w:val="false"/>
          <w:iCs w:val="false"/>
          <w:caps w:val="false"/>
          <w:color w:val="000000"/>
          <w:sz w:val="20"/>
          <w:szCs w:val="20"/>
        </w:rPr>
        <w:t xml:space="preserve">6. Proposed, Not Implemented: </w:t>
      </w:r>
      <w:r>
        <w:rPr>
          <w:rFonts w:ascii="Times New Roman" w:cs="Times New Roman" w:eastAsia="Times New Roman" w:hAnsi="Times New Roman"/>
          <w:b w:val="false"/>
          <w:bCs w:val="false"/>
          <w:i w:val="false"/>
          <w:iCs w:val="false"/>
          <w:caps w:val="false"/>
          <w:color w:val="000000"/>
          <w:sz w:val="20"/>
          <w:szCs w:val="20"/>
        </w:rPr>
        <w:t xml:space="preserve">All evaluation targets are projected values. Actual performance requires a working prototype and field trial, which constitute the immediate future work of this research.</w:t>
      </w:r>
    </w:p>
    <w:p>
      <w:pPr>
        <w:spacing w:after="120" w:before="280"/>
        <w:jc w:val="both"/>
      </w:pPr>
      <w:r>
        <w:rPr>
          <w:rFonts w:ascii="Times New Roman" w:cs="Times New Roman" w:eastAsia="Times New Roman" w:hAnsi="Times New Roman"/>
          <w:b/>
          <w:bCs/>
          <w:i w:val="false"/>
          <w:iCs w:val="false"/>
          <w:caps w:val="false"/>
          <w:color w:val="000000"/>
          <w:sz w:val="22"/>
          <w:szCs w:val="22"/>
        </w:rPr>
        <w:t xml:space="preserve">X. FUTURE SCOPE</w:t>
      </w:r>
    </w:p>
    <w:p>
      <w:pPr>
        <w:spacing w:after="120" w:before="0"/>
        <w:jc w:val="both"/>
      </w:pPr>
      <w:r>
        <w:rPr>
          <w:rFonts w:ascii="Times New Roman" w:cs="Times New Roman" w:eastAsia="Times New Roman" w:hAnsi="Times New Roman"/>
          <w:b/>
          <w:bCs/>
          <w:i w:val="false"/>
          <w:iCs w:val="false"/>
          <w:caps w:val="false"/>
          <w:color w:val="000000"/>
          <w:sz w:val="20"/>
          <w:szCs w:val="20"/>
        </w:rPr>
        <w:t xml:space="preserve">1. LangGraph Implementation: </w:t>
      </w:r>
      <w:r>
        <w:rPr>
          <w:rFonts w:ascii="Times New Roman" w:cs="Times New Roman" w:eastAsia="Times New Roman" w:hAnsi="Times New Roman"/>
          <w:b w:val="false"/>
          <w:bCs w:val="false"/>
          <w:i w:val="false"/>
          <w:iCs w:val="false"/>
          <w:caps w:val="false"/>
          <w:color w:val="000000"/>
          <w:sz w:val="20"/>
          <w:szCs w:val="20"/>
        </w:rPr>
        <w:t xml:space="preserve">The multi-agent architecture maps naturally onto LangGraph, which supports stateful conditional agent workflows. A prototype implementation is planned as the immediate next step following this theoretical framing.</w:t>
      </w:r>
    </w:p>
    <w:p>
      <w:pPr>
        <w:spacing w:after="120" w:before="0"/>
        <w:jc w:val="both"/>
      </w:pPr>
      <w:r>
        <w:rPr>
          <w:rFonts w:ascii="Times New Roman" w:cs="Times New Roman" w:eastAsia="Times New Roman" w:hAnsi="Times New Roman"/>
          <w:b/>
          <w:bCs/>
          <w:i w:val="false"/>
          <w:iCs w:val="false"/>
          <w:caps w:val="false"/>
          <w:color w:val="000000"/>
          <w:sz w:val="20"/>
          <w:szCs w:val="20"/>
        </w:rPr>
        <w:t xml:space="preserve">2. Voice Interface for Accessibility: </w:t>
      </w:r>
      <w:r>
        <w:rPr>
          <w:rFonts w:ascii="Times New Roman" w:cs="Times New Roman" w:eastAsia="Times New Roman" w:hAnsi="Times New Roman"/>
          <w:b w:val="false"/>
          <w:bCs w:val="false"/>
          <w:i w:val="false"/>
          <w:iCs w:val="false"/>
          <w:caps w:val="false"/>
          <w:color w:val="000000"/>
          <w:sz w:val="20"/>
          <w:szCs w:val="20"/>
        </w:rPr>
        <w:t xml:space="preserve">Integration of ASR and TTS in regional Indian languages (Bhashini API) to serve non-literate youth populations, dramatically expanding the target demographic beyond current smartphone users.</w:t>
      </w:r>
    </w:p>
    <w:p>
      <w:pPr>
        <w:spacing w:after="120" w:before="0"/>
        <w:jc w:val="both"/>
      </w:pPr>
      <w:r>
        <w:rPr>
          <w:rFonts w:ascii="Times New Roman" w:cs="Times New Roman" w:eastAsia="Times New Roman" w:hAnsi="Times New Roman"/>
          <w:b/>
          <w:bCs/>
          <w:i w:val="false"/>
          <w:iCs w:val="false"/>
          <w:caps w:val="false"/>
          <w:color w:val="000000"/>
          <w:sz w:val="20"/>
          <w:szCs w:val="20"/>
        </w:rPr>
        <w:t xml:space="preserve">3. Blockchain-Based Grievance Auditing: </w:t>
      </w:r>
      <w:r>
        <w:rPr>
          <w:rFonts w:ascii="Times New Roman" w:cs="Times New Roman" w:eastAsia="Times New Roman" w:hAnsi="Times New Roman"/>
          <w:b w:val="false"/>
          <w:bCs w:val="false"/>
          <w:i w:val="false"/>
          <w:iCs w:val="false"/>
          <w:caps w:val="false"/>
          <w:color w:val="000000"/>
          <w:sz w:val="20"/>
          <w:szCs w:val="20"/>
        </w:rPr>
        <w:t xml:space="preserve">Immutable on-chain records of grievance submission, routing decisions, and resolution timestamps to create an accountability layer currently absent from CPGRAMS, enabling independent civil society audits.</w:t>
      </w:r>
    </w:p>
    <w:p>
      <w:pPr>
        <w:spacing w:after="120" w:before="0"/>
        <w:jc w:val="both"/>
      </w:pPr>
      <w:r>
        <w:rPr>
          <w:rFonts w:ascii="Times New Roman" w:cs="Times New Roman" w:eastAsia="Times New Roman" w:hAnsi="Times New Roman"/>
          <w:b/>
          <w:bCs/>
          <w:i w:val="false"/>
          <w:iCs w:val="false"/>
          <w:caps w:val="false"/>
          <w:color w:val="000000"/>
          <w:sz w:val="20"/>
          <w:szCs w:val="20"/>
        </w:rPr>
        <w:t xml:space="preserve">4. Federated Learning: </w:t>
      </w:r>
      <w:r>
        <w:rPr>
          <w:rFonts w:ascii="Times New Roman" w:cs="Times New Roman" w:eastAsia="Times New Roman" w:hAnsi="Times New Roman"/>
          <w:b w:val="false"/>
          <w:bCs w:val="false"/>
          <w:i w:val="false"/>
          <w:iCs w:val="false"/>
          <w:caps w:val="false"/>
          <w:color w:val="000000"/>
          <w:sz w:val="20"/>
          <w:szCs w:val="20"/>
        </w:rPr>
        <w:t xml:space="preserve">Rather than centralising user data, federated learning would allow personalisation models to train locally on user devices and sync only gradient updates, significantly strengthening privacy guarantees under the DPDPA.</w:t>
      </w:r>
    </w:p>
    <w:p>
      <w:pPr>
        <w:spacing w:after="120" w:before="0"/>
        <w:jc w:val="both"/>
      </w:pPr>
      <w:r>
        <w:rPr>
          <w:rFonts w:ascii="Times New Roman" w:cs="Times New Roman" w:eastAsia="Times New Roman" w:hAnsi="Times New Roman"/>
          <w:b/>
          <w:bCs/>
          <w:i w:val="false"/>
          <w:iCs w:val="false"/>
          <w:caps w:val="false"/>
          <w:color w:val="000000"/>
          <w:sz w:val="20"/>
          <w:szCs w:val="20"/>
        </w:rPr>
        <w:t xml:space="preserve">5. RL-Based Roadmap Optimisation: </w:t>
      </w:r>
      <w:r>
        <w:rPr>
          <w:rFonts w:ascii="Times New Roman" w:cs="Times New Roman" w:eastAsia="Times New Roman" w:hAnsi="Times New Roman"/>
          <w:b w:val="false"/>
          <w:bCs w:val="false"/>
          <w:i w:val="false"/>
          <w:iCs w:val="false"/>
          <w:caps w:val="false"/>
          <w:color w:val="000000"/>
          <w:sz w:val="20"/>
          <w:szCs w:val="20"/>
        </w:rPr>
        <w:t xml:space="preserve">Modelling skill acquisition as a Markov Decision Process and applying reinforcement learning to optimise for expected career outcome—salary, satisfaction, social impact—rather than simple gap minimisation.</w:t>
      </w:r>
    </w:p>
    <w:p>
      <w:pPr>
        <w:spacing w:after="120" w:before="0"/>
        <w:jc w:val="both"/>
      </w:pPr>
      <w:r>
        <w:rPr>
          <w:rFonts w:ascii="Times New Roman" w:cs="Times New Roman" w:eastAsia="Times New Roman" w:hAnsi="Times New Roman"/>
          <w:b/>
          <w:bCs/>
          <w:i w:val="false"/>
          <w:iCs w:val="false"/>
          <w:caps w:val="false"/>
          <w:color w:val="000000"/>
          <w:sz w:val="20"/>
          <w:szCs w:val="20"/>
        </w:rPr>
        <w:t xml:space="preserve">6. Institutional Deployment Module: </w:t>
      </w:r>
      <w:r>
        <w:rPr>
          <w:rFonts w:ascii="Times New Roman" w:cs="Times New Roman" w:eastAsia="Times New Roman" w:hAnsi="Times New Roman"/>
          <w:b w:val="false"/>
          <w:bCs w:val="false"/>
          <w:i w:val="false"/>
          <w:iCs w:val="false"/>
          <w:caps w:val="false"/>
          <w:color w:val="000000"/>
          <w:sz w:val="20"/>
          <w:szCs w:val="20"/>
        </w:rPr>
        <w:t xml:space="preserve">A dedicated university-facing interface allowing institutions to configure YUVA-AI with institution-specific placement data, alumni career trajectories, and infrastructure for campus-level pilots.</w:t>
      </w:r>
    </w:p>
    <w:p>
      <w:pPr>
        <w:spacing w:after="120" w:before="280"/>
        <w:jc w:val="both"/>
      </w:pPr>
      <w:r>
        <w:rPr>
          <w:rFonts w:ascii="Times New Roman" w:cs="Times New Roman" w:eastAsia="Times New Roman" w:hAnsi="Times New Roman"/>
          <w:b/>
          <w:bCs/>
          <w:i w:val="false"/>
          <w:iCs w:val="false"/>
          <w:caps w:val="false"/>
          <w:color w:val="000000"/>
          <w:sz w:val="22"/>
          <w:szCs w:val="22"/>
        </w:rPr>
        <w:t xml:space="preserve">XI. CONCLUSION</w:t>
      </w:r>
    </w:p>
    <w:p>
      <w:pPr>
        <w:spacing w:after="120" w:before="0"/>
        <w:jc w:val="both"/>
      </w:pPr>
      <w:r>
        <w:rPr>
          <w:rFonts w:ascii="Times New Roman" w:cs="Times New Roman" w:eastAsia="Times New Roman" w:hAnsi="Times New Roman"/>
          <w:b w:val="false"/>
          <w:bCs w:val="false"/>
          <w:i w:val="false"/>
          <w:iCs w:val="false"/>
          <w:caps w:val="false"/>
          <w:color w:val="000000"/>
          <w:sz w:val="20"/>
          <w:szCs w:val="20"/>
        </w:rPr>
        <w:t xml:space="preserve">This paper has presented YUVA-AI, a multi-agent AI framework that simultaneously addresses the twin challenges of career confusion and civic disengagement among India's youth population. Unlike existing single-purpose AI tools, YUVA-AI integrates eight specialised agents—coordinated by an Orchestration Layer—to deliver a holistic, personalised, and institutionally grounded experience. The framework introduces a hybrid career recommendation algorithm, an ontology-driven skill gap analyser, a multilingual NLP-based grievance management pipeline, and an SLA-driven escalation mechanism, all designed to operate within India's existing digital governance infrastructure.</w:t>
      </w:r>
    </w:p>
    <w:p>
      <w:pPr>
        <w:spacing w:after="120" w:before="0"/>
        <w:jc w:val="both"/>
      </w:pPr>
      <w:r>
        <w:rPr>
          <w:rFonts w:ascii="Times New Roman" w:cs="Times New Roman" w:eastAsia="Times New Roman" w:hAnsi="Times New Roman"/>
          <w:b w:val="false"/>
          <w:bCs w:val="false"/>
          <w:i w:val="false"/>
          <w:iCs w:val="false"/>
          <w:caps w:val="false"/>
          <w:color w:val="000000"/>
          <w:sz w:val="20"/>
          <w:szCs w:val="20"/>
        </w:rPr>
        <w:t xml:space="preserve">The research contributions—a unified dual-domain MAS architecture, competency-graph-driven gap analysis, multi-stage grievance routing with escalation, and cross-domain analytics—represent a meaningful advance over the current state of practice in both career AI and civic technology. The evaluation framework and implementation roadmap provide a clear trajectory toward a deployable prototype and empirical validation.</w:t>
      </w:r>
    </w:p>
    <w:p>
      <w:pPr>
        <w:spacing w:after="120" w:before="0"/>
        <w:jc w:val="both"/>
      </w:pPr>
      <w:r>
        <w:rPr>
          <w:rFonts w:ascii="Times New Roman" w:cs="Times New Roman" w:eastAsia="Times New Roman" w:hAnsi="Times New Roman"/>
          <w:b w:val="false"/>
          <w:bCs w:val="false"/>
          <w:i w:val="false"/>
          <w:iCs w:val="false"/>
          <w:caps w:val="false"/>
          <w:color w:val="000000"/>
          <w:sz w:val="20"/>
          <w:szCs w:val="20"/>
        </w:rPr>
        <w:t xml:space="preserve">YUVA-AI reflects a broader thesis: that AI's most transformative contribution to developing economies may not lie in replicating Western consumer applications, but in solving the structural problems—career guidance at scale, institutional accountability, and youth empowerment—that determine whether the demographic dividend becomes an engine of growth or a source of instability. The authors invite collaboration from institutions, government bodies, and civic technology researchers to advance this vision toward deployment.</w:t>
      </w:r>
    </w:p>
    <w:p>
      <w:pPr>
        <w:spacing w:after="120" w:before="280"/>
        <w:jc w:val="both"/>
      </w:pPr>
      <w:r>
        <w:rPr>
          <w:rFonts w:ascii="Times New Roman" w:cs="Times New Roman" w:eastAsia="Times New Roman" w:hAnsi="Times New Roman"/>
          <w:b/>
          <w:bCs/>
          <w:i w:val="false"/>
          <w:iCs w:val="false"/>
          <w:caps w:val="false"/>
          <w:color w:val="000000"/>
          <w:sz w:val="22"/>
          <w:szCs w:val="22"/>
        </w:rPr>
        <w:t xml:space="preserve">XII. PUBLICATION GUIDANCE</w:t>
      </w:r>
    </w:p>
    <w:p>
      <w:pPr>
        <w:spacing w:after="120" w:before="0"/>
        <w:jc w:val="both"/>
      </w:pPr>
      <w:r>
        <w:rPr>
          <w:rFonts w:ascii="Times New Roman" w:cs="Times New Roman" w:eastAsia="Times New Roman" w:hAnsi="Times New Roman"/>
          <w:b/>
          <w:bCs/>
          <w:i w:val="false"/>
          <w:iCs w:val="false"/>
          <w:caps w:val="false"/>
          <w:color w:val="000000"/>
          <w:sz w:val="20"/>
          <w:szCs w:val="20"/>
        </w:rPr>
        <w:t xml:space="preserve">Recommended IEEE Conferences (in order of fit):</w:t>
      </w:r>
    </w:p>
    <w:p>
      <w:pPr>
        <w:spacing w:after="120" w:before="0"/>
        <w:ind w:left="360"/>
        <w:jc w:val="both"/>
      </w:pPr>
      <w:r>
        <w:rPr>
          <w:rFonts w:ascii="Times New Roman" w:cs="Times New Roman" w:eastAsia="Times New Roman" w:hAnsi="Times New Roman"/>
          <w:b w:val="false"/>
          <w:bCs w:val="false"/>
          <w:i w:val="false"/>
          <w:iCs w:val="false"/>
          <w:caps w:val="false"/>
          <w:color w:val="000000"/>
          <w:sz w:val="20"/>
          <w:szCs w:val="20"/>
        </w:rPr>
        <w:t xml:space="preserve">1. IEEE TENCON (Technology &amp; Engineering Management Society) — strong fit for applied AI in Asian/emerging economy contexts.</w:t>
      </w:r>
    </w:p>
    <w:p>
      <w:pPr>
        <w:spacing w:after="120" w:before="0"/>
        <w:ind w:left="360"/>
        <w:jc w:val="both"/>
      </w:pPr>
      <w:r>
        <w:rPr>
          <w:rFonts w:ascii="Times New Roman" w:cs="Times New Roman" w:eastAsia="Times New Roman" w:hAnsi="Times New Roman"/>
          <w:b w:val="false"/>
          <w:bCs w:val="false"/>
          <w:i w:val="false"/>
          <w:iCs w:val="false"/>
          <w:caps w:val="false"/>
          <w:color w:val="000000"/>
          <w:sz w:val="20"/>
          <w:szCs w:val="20"/>
        </w:rPr>
        <w:t xml:space="preserve">2. IEEE ICSAI (International Conference on Software and Artificial Intelligence) — suitable for agentic AI architectures.</w:t>
      </w:r>
    </w:p>
    <w:p>
      <w:pPr>
        <w:spacing w:after="120" w:before="0"/>
        <w:ind w:left="360"/>
        <w:jc w:val="both"/>
      </w:pPr>
      <w:r>
        <w:rPr>
          <w:rFonts w:ascii="Times New Roman" w:cs="Times New Roman" w:eastAsia="Times New Roman" w:hAnsi="Times New Roman"/>
          <w:b w:val="false"/>
          <w:bCs w:val="false"/>
          <w:i w:val="false"/>
          <w:iCs w:val="false"/>
          <w:caps w:val="false"/>
          <w:color w:val="000000"/>
          <w:sz w:val="20"/>
          <w:szCs w:val="20"/>
        </w:rPr>
        <w:t xml:space="preserve">3. IEEE COMSNETS (Communication Systems and Networks) — strong e-governance track.</w:t>
      </w:r>
    </w:p>
    <w:p>
      <w:pPr>
        <w:spacing w:after="120" w:before="0"/>
        <w:ind w:left="360"/>
        <w:jc w:val="both"/>
      </w:pPr>
      <w:r>
        <w:rPr>
          <w:rFonts w:ascii="Times New Roman" w:cs="Times New Roman" w:eastAsia="Times New Roman" w:hAnsi="Times New Roman"/>
          <w:b w:val="false"/>
          <w:bCs w:val="false"/>
          <w:i w:val="false"/>
          <w:iCs w:val="false"/>
          <w:caps w:val="false"/>
          <w:color w:val="000000"/>
          <w:sz w:val="20"/>
          <w:szCs w:val="20"/>
        </w:rPr>
        <w:t xml:space="preserve">4. IEEE ICCUBEA (Cloud, Big Data, and Data Science) — appropriate for the analytics and data pipeline components.</w:t>
      </w:r>
    </w:p>
    <w:p>
      <w:pPr>
        <w:spacing w:after="120" w:before="0"/>
        <w:jc w:val="both"/>
      </w:pPr>
      <w:r>
        <w:rPr>
          <w:rFonts w:ascii="Times New Roman" w:cs="Times New Roman" w:eastAsia="Times New Roman" w:hAnsi="Times New Roman"/>
          <w:b/>
          <w:bCs/>
          <w:i w:val="false"/>
          <w:iCs w:val="false"/>
          <w:caps w:val="false"/>
          <w:color w:val="000000"/>
          <w:sz w:val="20"/>
          <w:szCs w:val="20"/>
        </w:rPr>
        <w:t xml:space="preserve">Recommended Journals:</w:t>
      </w:r>
    </w:p>
    <w:p>
      <w:pPr>
        <w:spacing w:after="120" w:before="0"/>
        <w:ind w:left="360"/>
        <w:jc w:val="both"/>
      </w:pPr>
      <w:r>
        <w:rPr>
          <w:rFonts w:ascii="Times New Roman" w:cs="Times New Roman" w:eastAsia="Times New Roman" w:hAnsi="Times New Roman"/>
          <w:b w:val="false"/>
          <w:bCs w:val="false"/>
          <w:i w:val="false"/>
          <w:iCs w:val="false"/>
          <w:caps w:val="false"/>
          <w:color w:val="000000"/>
          <w:sz w:val="20"/>
          <w:szCs w:val="20"/>
        </w:rPr>
        <w:t xml:space="preserve">1. IEEE Transactions on Learning Technologies — for the career guidance and educational AI components.</w:t>
      </w:r>
    </w:p>
    <w:p>
      <w:pPr>
        <w:spacing w:after="120" w:before="0"/>
        <w:ind w:left="360"/>
        <w:jc w:val="both"/>
      </w:pPr>
      <w:r>
        <w:rPr>
          <w:rFonts w:ascii="Times New Roman" w:cs="Times New Roman" w:eastAsia="Times New Roman" w:hAnsi="Times New Roman"/>
          <w:b w:val="false"/>
          <w:bCs w:val="false"/>
          <w:i w:val="false"/>
          <w:iCs w:val="false"/>
          <w:caps w:val="false"/>
          <w:color w:val="000000"/>
          <w:sz w:val="20"/>
          <w:szCs w:val="20"/>
        </w:rPr>
        <w:t xml:space="preserve">2. IEEE Access — open-access; suitable for comprehensive system papers with broad interdisciplinary scope.</w:t>
      </w:r>
    </w:p>
    <w:p>
      <w:pPr>
        <w:spacing w:after="120" w:before="0"/>
        <w:ind w:left="360"/>
        <w:jc w:val="both"/>
      </w:pPr>
      <w:r>
        <w:rPr>
          <w:rFonts w:ascii="Times New Roman" w:cs="Times New Roman" w:eastAsia="Times New Roman" w:hAnsi="Times New Roman"/>
          <w:b w:val="false"/>
          <w:bCs w:val="false"/>
          <w:i w:val="false"/>
          <w:iCs w:val="false"/>
          <w:caps w:val="false"/>
          <w:color w:val="000000"/>
          <w:sz w:val="20"/>
          <w:szCs w:val="20"/>
        </w:rPr>
        <w:t xml:space="preserve">3. ACM Transactions on Intelligent Systems and Technology (TIST) — if extending to ACM venues.</w:t>
      </w:r>
    </w:p>
    <w:p>
      <w:pPr>
        <w:spacing w:after="120" w:before="0"/>
        <w:jc w:val="both"/>
      </w:pPr>
      <w:r>
        <w:rPr>
          <w:rFonts w:ascii="Times New Roman" w:cs="Times New Roman" w:eastAsia="Times New Roman" w:hAnsi="Times New Roman"/>
          <w:b/>
          <w:bCs/>
          <w:i w:val="false"/>
          <w:iCs w:val="false"/>
          <w:caps w:val="false"/>
          <w:color w:val="000000"/>
          <w:sz w:val="20"/>
          <w:szCs w:val="20"/>
        </w:rPr>
        <w:t xml:space="preserve">Pre-Submission Requirements:</w:t>
      </w:r>
    </w:p>
    <w:p>
      <w:pPr>
        <w:spacing w:after="120" w:before="0"/>
        <w:ind w:left="360"/>
        <w:jc w:val="both"/>
      </w:pPr>
      <w:r>
        <w:rPr>
          <w:rFonts w:ascii="Times New Roman" w:cs="Times New Roman" w:eastAsia="Times New Roman" w:hAnsi="Times New Roman"/>
          <w:b w:val="false"/>
          <w:bCs w:val="false"/>
          <w:i w:val="false"/>
          <w:iCs w:val="false"/>
          <w:caps w:val="false"/>
          <w:color w:val="000000"/>
          <w:sz w:val="20"/>
          <w:szCs w:val="20"/>
        </w:rPr>
        <w:t xml:space="preserve">Implement a working prototype of at least two agents (UPA + CGA). Run the evaluation on the proposed datasets. Replace projected metrics with actual results. Conduct the user study (n ≥ 50 for a conference paper). All references must be verified for accuracy before submission.</w:t>
      </w:r>
    </w:p>
    <w:p>
      <w:pPr>
        <w:pBdr>
          <w:bottom w:val="single" w:color="1E3A5F" w:sz="6" w:space="1"/>
        </w:pBdr>
        <w:spacing w:after="200" w:before="0"/>
      </w:pPr>
      <w:r>
        <w:rPr>
          <w:rFonts w:ascii="Times New Roman" w:cs="Times New Roman" w:eastAsia="Times New Roman" w:hAnsi="Times New Roman"/>
          <w:b w:val="false"/>
          <w:bCs w:val="false"/>
          <w:i w:val="false"/>
          <w:iCs w:val="false"/>
          <w:caps w:val="false"/>
          <w:color w:val="000000"/>
          <w:sz w:val="20"/>
          <w:szCs w:val="20"/>
        </w:rPr>
        <w:t xml:space="preserve"/>
      </w:r>
    </w:p>
    <w:p>
      <w:pPr>
        <w:spacing w:after="120" w:before="200"/>
        <w:jc w:val="both"/>
      </w:pPr>
      <w:r>
        <w:rPr>
          <w:rFonts w:ascii="Times New Roman" w:cs="Times New Roman" w:eastAsia="Times New Roman" w:hAnsi="Times New Roman"/>
          <w:b/>
          <w:bCs/>
          <w:i w:val="false"/>
          <w:iCs w:val="false"/>
          <w:caps w:val="false"/>
          <w:color w:val="000000"/>
          <w:sz w:val="22"/>
          <w:szCs w:val="22"/>
        </w:rPr>
        <w:t xml:space="preserve">REFERENCES</w:t>
      </w:r>
    </w:p>
    <w:p>
      <w:pPr>
        <w:spacing w:after="80" w:before="0"/>
        <w:ind w:left="360" w:hanging="360"/>
      </w:pPr>
      <w:r>
        <w:rPr>
          <w:rFonts w:ascii="Times New Roman" w:cs="Times New Roman" w:eastAsia="Times New Roman" w:hAnsi="Times New Roman"/>
          <w:sz w:val="18"/>
          <w:szCs w:val="18"/>
        </w:rPr>
        <w:t xml:space="preserve">[1] Office of the Registrar General &amp; Census Commissioner India, "Census of India 2011: Primary Census Abstract," Government of India, New Delhi, 2011.</w:t>
      </w:r>
    </w:p>
    <w:p>
      <w:pPr>
        <w:spacing w:after="80" w:before="0"/>
        <w:ind w:left="360" w:hanging="360"/>
      </w:pPr>
      <w:r>
        <w:rPr>
          <w:rFonts w:ascii="Times New Roman" w:cs="Times New Roman" w:eastAsia="Times New Roman" w:hAnsi="Times New Roman"/>
          <w:sz w:val="18"/>
          <w:szCs w:val="18"/>
        </w:rPr>
        <w:t xml:space="preserve">[2] National Skill Development Corporation, "Annual Report 2022–23," NSDC, New Delhi, India, 2023.</w:t>
      </w:r>
    </w:p>
    <w:p>
      <w:pPr>
        <w:spacing w:after="80" w:before="0"/>
        <w:ind w:left="360" w:hanging="360"/>
      </w:pPr>
      <w:r>
        <w:rPr>
          <w:rFonts w:ascii="Times New Roman" w:cs="Times New Roman" w:eastAsia="Times New Roman" w:hAnsi="Times New Roman"/>
          <w:sz w:val="18"/>
          <w:szCs w:val="18"/>
        </w:rPr>
        <w:t xml:space="preserve">[3] Ministry of Personnel, Public Grievances and Pensions, "Annual Report on CPGRAMS Performance," Government of India, New Delhi, 2022.</w:t>
      </w:r>
    </w:p>
    <w:p>
      <w:pPr>
        <w:spacing w:after="80" w:before="0"/>
        <w:ind w:left="360" w:hanging="360"/>
      </w:pPr>
      <w:r>
        <w:rPr>
          <w:rFonts w:ascii="Times New Roman" w:cs="Times New Roman" w:eastAsia="Times New Roman" w:hAnsi="Times New Roman"/>
          <w:sz w:val="18"/>
          <w:szCs w:val="18"/>
        </w:rPr>
        <w:t xml:space="preserve">[4] M. Levi and L. Stoker, "Political trust and trustworthiness," Annual Review of Political Science, vol. 3, pp. 475–507, 2000.</w:t>
      </w:r>
    </w:p>
    <w:p>
      <w:pPr>
        <w:spacing w:after="80" w:before="0"/>
        <w:ind w:left="360" w:hanging="360"/>
      </w:pPr>
      <w:r>
        <w:rPr>
          <w:rFonts w:ascii="Times New Roman" w:cs="Times New Roman" w:eastAsia="Times New Roman" w:hAnsi="Times New Roman"/>
          <w:sz w:val="18"/>
          <w:szCs w:val="18"/>
        </w:rPr>
        <w:t xml:space="preserve">[5] M. Wooldridge and N. R. Jennings, "Intelligent agents: Theory and practice," The Knowledge Engineering Review, vol. 10, no. 2, pp. 115–152, 1995.</w:t>
      </w:r>
    </w:p>
    <w:p>
      <w:pPr>
        <w:spacing w:after="80" w:before="0"/>
        <w:ind w:left="360" w:hanging="360"/>
      </w:pPr>
      <w:r>
        <w:rPr>
          <w:rFonts w:ascii="Times New Roman" w:cs="Times New Roman" w:eastAsia="Times New Roman" w:hAnsi="Times New Roman"/>
          <w:sz w:val="18"/>
          <w:szCs w:val="18"/>
        </w:rPr>
        <w:t xml:space="preserve">[6] G. Weiss, Multiagent Systems: A Modern Approach to Distributed Artificial Intelligence. Cambridge, MA: MIT Press, 1999.</w:t>
      </w:r>
    </w:p>
    <w:p>
      <w:pPr>
        <w:spacing w:after="80" w:before="0"/>
        <w:ind w:left="360" w:hanging="360"/>
      </w:pPr>
      <w:r>
        <w:rPr>
          <w:rFonts w:ascii="Times New Roman" w:cs="Times New Roman" w:eastAsia="Times New Roman" w:hAnsi="Times New Roman"/>
          <w:sz w:val="18"/>
          <w:szCs w:val="18"/>
        </w:rPr>
        <w:t xml:space="preserve">[7] J. Ferber, Multi-Agent Systems: An Introduction to Distributed Artificial Intelligence. Harlow, UK: Addison-Wesley, 1999.</w:t>
      </w:r>
    </w:p>
    <w:p>
      <w:pPr>
        <w:spacing w:after="80" w:before="0"/>
        <w:ind w:left="360" w:hanging="360"/>
      </w:pPr>
      <w:r>
        <w:rPr>
          <w:rFonts w:ascii="Times New Roman" w:cs="Times New Roman" w:eastAsia="Times New Roman" w:hAnsi="Times New Roman"/>
          <w:sz w:val="18"/>
          <w:szCs w:val="18"/>
        </w:rPr>
        <w:t xml:space="preserve">[8] Z. Zhao et al., "Multi-agent deep reinforcement learning for supply chain optimisation," in Proc. IEEE Int. Conf. Agents, 2020, pp. 1–6.</w:t>
      </w:r>
    </w:p>
    <w:p>
      <w:pPr>
        <w:spacing w:after="80" w:before="0"/>
        <w:ind w:left="360" w:hanging="360"/>
      </w:pPr>
      <w:r>
        <w:rPr>
          <w:rFonts w:ascii="Times New Roman" w:cs="Times New Roman" w:eastAsia="Times New Roman" w:hAnsi="Times New Roman"/>
          <w:sz w:val="18"/>
          <w:szCs w:val="18"/>
        </w:rPr>
        <w:t xml:space="preserve">[9] S. Shalev-Shwartz, S. Shammah, and A. Shashua, "Safe, multi-agent reinforcement learning for autonomous driving," arXiv:1610.03295, 2016.</w:t>
      </w:r>
    </w:p>
    <w:p>
      <w:pPr>
        <w:spacing w:after="80" w:before="0"/>
        <w:ind w:left="360" w:hanging="360"/>
      </w:pPr>
      <w:r>
        <w:rPr>
          <w:rFonts w:ascii="Times New Roman" w:cs="Times New Roman" w:eastAsia="Times New Roman" w:hAnsi="Times New Roman"/>
          <w:sz w:val="18"/>
          <w:szCs w:val="18"/>
        </w:rPr>
        <w:t xml:space="preserve">[10] C. A. Yfantis et al., "Multi-agent systems for distributed resource allocation," IEEE Trans. Syst., Man, Cybern., vol. 47, no. 7, pp. 1693–1704, 2017.</w:t>
      </w:r>
    </w:p>
    <w:p>
      <w:pPr>
        <w:spacing w:after="80" w:before="0"/>
        <w:ind w:left="360" w:hanging="360"/>
      </w:pPr>
      <w:r>
        <w:rPr>
          <w:rFonts w:ascii="Times New Roman" w:cs="Times New Roman" w:eastAsia="Times New Roman" w:hAnsi="Times New Roman"/>
          <w:sz w:val="18"/>
          <w:szCs w:val="18"/>
        </w:rPr>
        <w:t xml:space="preserve">[11] S. Yao et al., "ReAct: Synergizing reasoning and acting in language models," in Proc. ICLR, 2023.</w:t>
      </w:r>
    </w:p>
    <w:p>
      <w:pPr>
        <w:spacing w:after="80" w:before="0"/>
        <w:ind w:left="360" w:hanging="360"/>
      </w:pPr>
      <w:r>
        <w:rPr>
          <w:rFonts w:ascii="Times New Roman" w:cs="Times New Roman" w:eastAsia="Times New Roman" w:hAnsi="Times New Roman"/>
          <w:sz w:val="18"/>
          <w:szCs w:val="18"/>
        </w:rPr>
        <w:t xml:space="preserve">[12] T. Significant Gravitas, "AutoGPT: An autonomous GPT-4 experiment," GitHub, 2023. [Online]. Available: https://github.com/Significant-Gravitas/AutoGPT</w:t>
      </w:r>
    </w:p>
    <w:p>
      <w:pPr>
        <w:spacing w:after="80" w:before="0"/>
        <w:ind w:left="360" w:hanging="360"/>
      </w:pPr>
      <w:r>
        <w:rPr>
          <w:rFonts w:ascii="Times New Roman" w:cs="Times New Roman" w:eastAsia="Times New Roman" w:hAnsi="Times New Roman"/>
          <w:sz w:val="18"/>
          <w:szCs w:val="18"/>
        </w:rPr>
        <w:t xml:space="preserve">[13] H. Chase, "LangChain: Building applications with LLMs through composability," GitHub, 2022. [Online]. Available: https://github.com/langchain-ai/langchain</w:t>
      </w:r>
    </w:p>
    <w:p>
      <w:pPr>
        <w:spacing w:after="80" w:before="0"/>
        <w:ind w:left="360" w:hanging="360"/>
      </w:pPr>
      <w:r>
        <w:rPr>
          <w:rFonts w:ascii="Times New Roman" w:cs="Times New Roman" w:eastAsia="Times New Roman" w:hAnsi="Times New Roman"/>
          <w:sz w:val="18"/>
          <w:szCs w:val="18"/>
        </w:rPr>
        <w:t xml:space="preserve">[14] J. S. Park et al., "Generative agents: Interactive simulacra of human behavior," in Proc. ACM UIST, 2023.</w:t>
      </w:r>
    </w:p>
    <w:p>
      <w:pPr>
        <w:spacing w:after="80" w:before="0"/>
        <w:ind w:left="360" w:hanging="360"/>
      </w:pPr>
      <w:r>
        <w:rPr>
          <w:rFonts w:ascii="Times New Roman" w:cs="Times New Roman" w:eastAsia="Times New Roman" w:hAnsi="Times New Roman"/>
          <w:sz w:val="18"/>
          <w:szCs w:val="18"/>
        </w:rPr>
        <w:t xml:space="preserve">[15] J. Dreher, "Expert systems in career guidance: Prospects and problems," J. Employment Counseling, vol. 27, no. 1, pp. 2–8, 1990.</w:t>
      </w:r>
    </w:p>
    <w:p>
      <w:pPr>
        <w:spacing w:after="80" w:before="0"/>
        <w:ind w:left="360" w:hanging="360"/>
      </w:pPr>
      <w:r>
        <w:rPr>
          <w:rFonts w:ascii="Times New Roman" w:cs="Times New Roman" w:eastAsia="Times New Roman" w:hAnsi="Times New Roman"/>
          <w:sz w:val="18"/>
          <w:szCs w:val="18"/>
        </w:rPr>
        <w:t xml:space="preserve">[16] Y. Koren, R. Bell, and C. Volinsky, "Matrix factorisation techniques for recommender systems," IEEE Computer, vol. 42, no. 8, pp. 30–37, 2009.</w:t>
      </w:r>
    </w:p>
    <w:p>
      <w:pPr>
        <w:spacing w:after="80" w:before="0"/>
        <w:ind w:left="360" w:hanging="360"/>
      </w:pPr>
      <w:r>
        <w:rPr>
          <w:rFonts w:ascii="Times New Roman" w:cs="Times New Roman" w:eastAsia="Times New Roman" w:hAnsi="Times New Roman"/>
          <w:sz w:val="18"/>
          <w:szCs w:val="18"/>
        </w:rPr>
        <w:t xml:space="preserve">[17] K. Kenthapadi, B. Le, and G. Venkataraman, "Personalised job recommendation system at LinkedIn," in Proc. ACM RecSys, 2017, pp. 346–347.</w:t>
      </w:r>
    </w:p>
    <w:p>
      <w:pPr>
        <w:spacing w:after="80" w:before="0"/>
        <w:ind w:left="360" w:hanging="360"/>
      </w:pPr>
      <w:r>
        <w:rPr>
          <w:rFonts w:ascii="Times New Roman" w:cs="Times New Roman" w:eastAsia="Times New Roman" w:hAnsi="Times New Roman"/>
          <w:sz w:val="18"/>
          <w:szCs w:val="18"/>
        </w:rPr>
        <w:t xml:space="preserve">[18] H. Zhu et al., "Person-job fit: Adapting the right talent for the right job with joint representation learning," ACM Trans. Manag. Inf. Syst., vol. 9, no. 3, pp. 1–17, 2018.</w:t>
      </w:r>
    </w:p>
    <w:p>
      <w:pPr>
        <w:spacing w:after="80" w:before="0"/>
        <w:ind w:left="360" w:hanging="360"/>
      </w:pPr>
      <w:r>
        <w:rPr>
          <w:rFonts w:ascii="Times New Roman" w:cs="Times New Roman" w:eastAsia="Times New Roman" w:hAnsi="Times New Roman"/>
          <w:sz w:val="18"/>
          <w:szCs w:val="18"/>
        </w:rPr>
        <w:t xml:space="preserve">[19] J. Devlin et al., "BERT: Pre-training of deep bidirectional transformers for language understanding," in Proc. NAACL-HLT, 2019, pp. 4171–4186.</w:t>
      </w:r>
    </w:p>
    <w:p>
      <w:pPr>
        <w:spacing w:after="80" w:before="0"/>
        <w:ind w:left="360" w:hanging="360"/>
      </w:pPr>
      <w:r>
        <w:rPr>
          <w:rFonts w:ascii="Times New Roman" w:cs="Times New Roman" w:eastAsia="Times New Roman" w:hAnsi="Times New Roman"/>
          <w:sz w:val="18"/>
          <w:szCs w:val="18"/>
        </w:rPr>
        <w:t xml:space="preserve">[20] R. Sharma and V. Tripathi, "A survey of AI-based career counselling tools in India," in Proc. IEEE ICCUBEA, 2022, pp. 1–6.</w:t>
      </w:r>
    </w:p>
    <w:p>
      <w:pPr>
        <w:spacing w:after="80" w:before="0"/>
        <w:ind w:left="360" w:hanging="360"/>
      </w:pPr>
      <w:r>
        <w:rPr>
          <w:rFonts w:ascii="Times New Roman" w:cs="Times New Roman" w:eastAsia="Times New Roman" w:hAnsi="Times New Roman"/>
          <w:sz w:val="18"/>
          <w:szCs w:val="18"/>
        </w:rPr>
        <w:t xml:space="preserve">[21] D. E. Sloep et al., "A web of competencies for networked learning," in Proc. IEEE ICALT, 2006.</w:t>
      </w:r>
    </w:p>
    <w:p>
      <w:pPr>
        <w:spacing w:after="80" w:before="0"/>
        <w:ind w:left="360" w:hanging="360"/>
      </w:pPr>
      <w:r>
        <w:rPr>
          <w:rFonts w:ascii="Times New Roman" w:cs="Times New Roman" w:eastAsia="Times New Roman" w:hAnsi="Times New Roman"/>
          <w:sz w:val="18"/>
          <w:szCs w:val="18"/>
        </w:rPr>
        <w:t xml:space="preserve">[22] M. A. Conde et al., "Semantic skill gap detection using OWL competency ontologies," in Proc. IEEE Frontiers in Education, 2016.</w:t>
      </w:r>
    </w:p>
    <w:p>
      <w:pPr>
        <w:spacing w:after="80" w:before="0"/>
        <w:ind w:left="360" w:hanging="360"/>
      </w:pPr>
      <w:r>
        <w:rPr>
          <w:rFonts w:ascii="Times New Roman" w:cs="Times New Roman" w:eastAsia="Times New Roman" w:hAnsi="Times New Roman"/>
          <w:sz w:val="18"/>
          <w:szCs w:val="18"/>
        </w:rPr>
        <w:t xml:space="preserve">[23] N. Heffernan and C. Heffernan, "The ASSISTments ecosystem," Int. J. Artif. Intell. Educ., vol. 24, no. 4, pp. 470–497, 2014.</w:t>
      </w:r>
    </w:p>
    <w:p>
      <w:pPr>
        <w:spacing w:after="80" w:before="0"/>
        <w:ind w:left="360" w:hanging="360"/>
      </w:pPr>
      <w:r>
        <w:rPr>
          <w:rFonts w:ascii="Times New Roman" w:cs="Times New Roman" w:eastAsia="Times New Roman" w:hAnsi="Times New Roman"/>
          <w:sz w:val="18"/>
          <w:szCs w:val="18"/>
        </w:rPr>
        <w:t xml:space="preserve">[24] U.S. Department of Labor, "O*NET OnLine," 2024. [Online]. Available: https://www.onetonline.org</w:t>
      </w:r>
    </w:p>
    <w:p>
      <w:pPr>
        <w:spacing w:after="80" w:before="0"/>
        <w:ind w:left="360" w:hanging="360"/>
      </w:pPr>
      <w:r>
        <w:rPr>
          <w:rFonts w:ascii="Times New Roman" w:cs="Times New Roman" w:eastAsia="Times New Roman" w:hAnsi="Times New Roman"/>
          <w:sz w:val="18"/>
          <w:szCs w:val="18"/>
        </w:rPr>
        <w:t xml:space="preserve">[25] T. Mossberger, C. Tolbert, and R. McNeal, Digital Citizenship: The Internet, Society, and Participation. Cambridge, MA: MIT Press, 2008.</w:t>
      </w:r>
    </w:p>
    <w:p>
      <w:pPr>
        <w:spacing w:after="80" w:before="0"/>
        <w:ind w:left="360" w:hanging="360"/>
      </w:pPr>
      <w:r>
        <w:rPr>
          <w:rFonts w:ascii="Times New Roman" w:cs="Times New Roman" w:eastAsia="Times New Roman" w:hAnsi="Times New Roman"/>
          <w:sz w:val="18"/>
          <w:szCs w:val="18"/>
        </w:rPr>
        <w:t xml:space="preserve">[26] A. Pathak, "Digital India and e-governance: Opportunities and challenges," J. Critical Reviews, vol. 7, no. 13, pp. 1098–1104, 2020.</w:t>
      </w:r>
    </w:p>
    <w:p>
      <w:pPr>
        <w:spacing w:after="80" w:before="0"/>
        <w:ind w:left="360" w:hanging="360"/>
      </w:pPr>
      <w:r>
        <w:rPr>
          <w:rFonts w:ascii="Times New Roman" w:cs="Times New Roman" w:eastAsia="Times New Roman" w:hAnsi="Times New Roman"/>
          <w:sz w:val="18"/>
          <w:szCs w:val="18"/>
        </w:rPr>
        <w:t xml:space="preserve">[27] D. Saxena, "Automatic routing of public complaints using decision tree classifiers," in Proc. IEEE ICDSNS, 2019.</w:t>
      </w:r>
    </w:p>
    <w:p>
      <w:pPr>
        <w:spacing w:after="80" w:before="0"/>
        <w:ind w:left="360" w:hanging="360"/>
      </w:pPr>
      <w:r>
        <w:rPr>
          <w:rFonts w:ascii="Times New Roman" w:cs="Times New Roman" w:eastAsia="Times New Roman" w:hAnsi="Times New Roman"/>
          <w:sz w:val="18"/>
          <w:szCs w:val="18"/>
        </w:rPr>
        <w:t xml:space="preserve">[28] A. Rao and A. Spasojevic, "Actionable and political text classification using word embeddings and LSTM," arXiv:1607.02501, 2016.</w:t>
      </w:r>
    </w:p>
    <w:p>
      <w:pPr>
        <w:spacing w:after="80" w:before="0"/>
        <w:ind w:left="360" w:hanging="360"/>
      </w:pPr>
      <w:r>
        <w:rPr>
          <w:rFonts w:ascii="Times New Roman" w:cs="Times New Roman" w:eastAsia="Times New Roman" w:hAnsi="Times New Roman"/>
          <w:sz w:val="18"/>
          <w:szCs w:val="18"/>
        </w:rPr>
        <w:t xml:space="preserve">[29] J. Barata et al., "Intelligent complaint routing in public administration using machine learning," in Proc. IEEE DSAI, 2018.</w:t>
      </w:r>
    </w:p>
    <w:p>
      <w:pPr>
        <w:spacing w:after="80" w:before="0"/>
        <w:ind w:left="360" w:hanging="360"/>
      </w:pPr>
      <w:r>
        <w:rPr>
          <w:rFonts w:ascii="Times New Roman" w:cs="Times New Roman" w:eastAsia="Times New Roman" w:hAnsi="Times New Roman"/>
          <w:sz w:val="18"/>
          <w:szCs w:val="18"/>
        </w:rPr>
        <w:t xml:space="preserve">[30] S. Garg, T. Saxena, and P. Gupta, "Bilingual BERT for classification of Indian public grievances," in Proc. IEEE COMSNETS, 2022, pp. 654–659.</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20" w:before="280"/>
      <w:outlineLvl w:val="0"/>
    </w:pPr>
    <w:rPr>
      <w:rFonts w:ascii="Times New Roman" w:cs="Times New Roman" w:eastAsia="Times New Roman" w:hAnsi="Times New Roman"/>
      <w:b/>
      <w:bCs/>
      <w:sz w:val="22"/>
      <w:szCs w:val="22"/>
    </w:rPr>
  </w:style>
  <w:style w:type="paragraph" w:styleId="Heading2">
    <w:name w:val="Heading 2"/>
    <w:basedOn w:val="Normal"/>
    <w:next w:val="Normal"/>
    <w:pPr>
      <w:spacing w:after="80" w:before="180"/>
      <w:outlineLvl w:val="1"/>
    </w:pPr>
    <w:rPr>
      <w:rFonts w:ascii="Times New Roman" w:cs="Times New Roman" w:eastAsia="Times New Roman" w:hAnsi="Times New Roman"/>
      <w:b/>
      <w:bCs/>
      <w:i/>
      <w:iCs/>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2026-06-09T06:44:28.665Z</dcterms:created>
  <dcterms:modified xsi:type="dcterms:W3CDTF">2026-06-09T06:44:28.666Z</dcterms:modified>
</cp:coreProperties>
</file>

<file path=docProps/custom.xml><?xml version="1.0" encoding="utf-8"?>
<Properties xmlns="http://schemas.openxmlformats.org/officeDocument/2006/custom-properties" xmlns:vt="http://schemas.openxmlformats.org/officeDocument/2006/docPropsVTypes"/>
</file>